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仙游县大济镇乌石村文旦柚产业发展项目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ZYX-ZB-[2025]仙079号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仙游县大济镇乌石村民委员会   </w:t>
      </w:r>
      <w:bookmarkStart w:id="11" w:name="_GoBack"/>
      <w:bookmarkEnd w:id="11"/>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1C860CCD">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9DA8558">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1" w:name="OLE_LINK4"/>
      <w:r>
        <w:rPr>
          <w:rFonts w:hint="eastAsia" w:ascii="Times New Roman" w:hAnsi="Times New Roman" w:eastAsia="宋体" w:cs="Times New Roman"/>
          <w:kern w:val="2"/>
          <w:sz w:val="24"/>
          <w:szCs w:val="24"/>
          <w:lang w:val="en-US" w:eastAsia="zh-CN" w:bidi="ar-SA"/>
        </w:rPr>
        <w:t>ZYX-ZB-[2025]仙079号</w:t>
      </w:r>
      <w:bookmarkEnd w:id="1"/>
    </w:p>
    <w:p w14:paraId="10742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7A34A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仙游县大济镇乌石村文旦柚产业发展项目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7C928D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4EEF7D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5F13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约人民币166万元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C4F29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79B09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541BB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E45A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45320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FCDC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A9DD2FF">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1667640元-33951元）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+33951元    </w:t>
      </w:r>
      <w:r>
        <w:rPr>
          <w:rFonts w:ascii="宋体" w:hAnsi="宋体" w:eastAsia="宋体" w:cs="宋体"/>
          <w:color w:val="000000"/>
          <w:kern w:val="2"/>
          <w:sz w:val="24"/>
          <w:szCs w:val="24"/>
        </w:rPr>
        <w:t xml:space="preserve">                  </w:t>
      </w:r>
    </w:p>
    <w:p w14:paraId="14C0ADE6">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1471597</w:t>
      </w:r>
      <w:r>
        <w:rPr>
          <w:rFonts w:ascii="宋体" w:hAnsi="宋体" w:eastAsia="宋体" w:cs="宋体"/>
          <w:color w:val="000000"/>
          <w:kern w:val="2"/>
          <w:sz w:val="24"/>
          <w:szCs w:val="24"/>
        </w:rPr>
        <w:t>元(人民币)</w:t>
      </w:r>
      <w:bookmarkEnd w:id="2"/>
    </w:p>
    <w:bookmarkEnd w:id="3"/>
    <w:p w14:paraId="030C5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747FB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90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66E9F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33CEC6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F87B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570FD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2696CE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8065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4863A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A1918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本工程采用非电子招投标。凡参加投标者，自2025年10月23日直接登入仙游县大济镇人民政府网（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1F08C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07BBE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人民币1471597</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5F7F1F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1324437</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元-1368585元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8E24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E39B5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2E0DD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p>
    <w:p w14:paraId="725F9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23FA8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3F002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616E3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6C613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7970A8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27DAD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06CED3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EAF097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67D8C5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0ED6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2660B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31C39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A8C1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贰万元整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54F2B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5C305451">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7ED418DD">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4EAC3F30">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11960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2437A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2D22AD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2025年10月29日15时00分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05073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07542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61547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097B97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仙游县大济镇乌石村文旦柚产业发展项目</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166</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90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1A5C3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75929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41DCC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3AB54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6A14DC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23</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1667640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2A9756BE">
      <w:pPr>
        <w:shd w:val="clear" w:color="auto" w:fill="FFFFFF"/>
        <w:spacing w:before="120" w:after="120" w:line="280" w:lineRule="atLeast"/>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5C0E6DC">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1667640元-33951元）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+33951元    </w:t>
      </w:r>
      <w:r>
        <w:rPr>
          <w:rFonts w:hint="eastAsia" w:ascii="宋体" w:hAnsi="宋体" w:eastAsia="宋体" w:cs="宋体"/>
          <w:i w:val="0"/>
          <w:iCs w:val="0"/>
          <w:caps w:val="0"/>
          <w:color w:val="000000"/>
          <w:spacing w:val="0"/>
          <w:sz w:val="24"/>
          <w:szCs w:val="24"/>
          <w:shd w:val="clear" w:color="auto" w:fill="FFFFFF"/>
        </w:rPr>
        <w:t xml:space="preserve">                  </w:t>
      </w:r>
    </w:p>
    <w:p w14:paraId="3EBD456D">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1471597</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082B504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3CE38A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8CB205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5C67153">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贰万元整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 xml:space="preserve">以现金形式递交保证金的将退还到投标人的开户行基本账户。开标时带退投标保证金的申请书，并附：1.开户许可证，2.保证金回单，3.收款收据，以上复印件需加盖公司的印章。 </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（为最高限价再下浮：市政7%-10%、即1324437元-1368585元）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52E6CB64">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30DE3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052C5C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A5E8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9150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B7397E8">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491ABE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98E6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89D0C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B798E2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23071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330958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DE15D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79455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F19D8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B86B7E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562F4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13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4523E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DC755D">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16EC2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0C7331">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95E72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1B75976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5998057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268496B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C6940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EE07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98501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AA962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EA91D0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26D24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2DFC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A9F6F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D59B0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FFF93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C9FB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0AA95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54B3E8">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A78A1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2584C7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2F479E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54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34A5D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6B154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DA0FD9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EBA5">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BCCCE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082B1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9240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DE8947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199EC3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0BF14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64ED6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3EC3C7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38455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BDE027">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0B27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F00A8A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AE93C3">
            <w:pPr>
              <w:rPr>
                <w:rFonts w:hint="eastAsia" w:ascii="宋体" w:hAnsi="宋体" w:eastAsia="宋体" w:cs="宋体"/>
                <w:color w:val="000000"/>
                <w:sz w:val="21"/>
                <w:szCs w:val="21"/>
              </w:rPr>
            </w:pPr>
          </w:p>
        </w:tc>
      </w:tr>
      <w:tr w14:paraId="5387C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0B3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D336A0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D4CD">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4CB4E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311FB2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DC1523">
            <w:pPr>
              <w:rPr>
                <w:rFonts w:hint="eastAsia" w:ascii="宋体" w:hAnsi="宋体" w:eastAsia="宋体" w:cs="宋体"/>
                <w:color w:val="000000"/>
                <w:sz w:val="21"/>
                <w:szCs w:val="21"/>
              </w:rPr>
            </w:pPr>
          </w:p>
        </w:tc>
      </w:tr>
      <w:tr w14:paraId="7BEE1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A37F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CE75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098AE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4C86DD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C1A01F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49435A1">
            <w:pPr>
              <w:rPr>
                <w:rFonts w:hint="eastAsia" w:ascii="宋体" w:hAnsi="宋体" w:eastAsia="宋体" w:cs="宋体"/>
                <w:color w:val="000000"/>
                <w:sz w:val="21"/>
                <w:szCs w:val="21"/>
              </w:rPr>
            </w:pPr>
          </w:p>
        </w:tc>
      </w:tr>
      <w:tr w14:paraId="76118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AFC27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E83EA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469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E3BD38">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64573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D19D2">
            <w:pPr>
              <w:rPr>
                <w:rFonts w:hint="eastAsia" w:ascii="宋体" w:hAnsi="宋体" w:eastAsia="宋体" w:cs="宋体"/>
                <w:color w:val="000000"/>
                <w:sz w:val="21"/>
                <w:szCs w:val="21"/>
              </w:rPr>
            </w:pPr>
          </w:p>
        </w:tc>
      </w:tr>
      <w:tr w14:paraId="1C47B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8621A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A58D0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C8936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BAFAB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FBDBE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1CC11F">
            <w:pPr>
              <w:rPr>
                <w:rFonts w:hint="eastAsia" w:ascii="宋体" w:hAnsi="宋体" w:eastAsia="宋体" w:cs="宋体"/>
                <w:color w:val="000000"/>
                <w:sz w:val="21"/>
                <w:szCs w:val="21"/>
              </w:rPr>
            </w:pPr>
          </w:p>
        </w:tc>
      </w:tr>
      <w:tr w14:paraId="574FC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C5EF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51734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48837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EAC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03DEC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45999">
            <w:pPr>
              <w:rPr>
                <w:rFonts w:hint="eastAsia" w:ascii="宋体" w:hAnsi="宋体" w:eastAsia="宋体" w:cs="宋体"/>
                <w:color w:val="000000"/>
                <w:sz w:val="21"/>
                <w:szCs w:val="21"/>
              </w:rPr>
            </w:pPr>
          </w:p>
        </w:tc>
      </w:tr>
    </w:tbl>
    <w:p w14:paraId="6B78FC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260D4AC">
      <w:pPr>
        <w:pStyle w:val="3"/>
        <w:spacing w:before="200" w:after="120" w:line="360" w:lineRule="auto"/>
        <w:jc w:val="center"/>
        <w:rPr>
          <w:rFonts w:hint="eastAsia" w:ascii="宋体" w:hAnsi="宋体" w:eastAsia="宋体" w:cs="宋体"/>
        </w:rPr>
      </w:pPr>
    </w:p>
    <w:p w14:paraId="2E51A662">
      <w:pPr>
        <w:pStyle w:val="3"/>
        <w:spacing w:before="200" w:after="120" w:line="360" w:lineRule="auto"/>
        <w:jc w:val="center"/>
        <w:rPr>
          <w:rFonts w:hint="eastAsia" w:ascii="宋体" w:hAnsi="宋体" w:eastAsia="宋体" w:cs="宋体"/>
        </w:rPr>
      </w:pPr>
    </w:p>
    <w:p w14:paraId="6CDAD5E9">
      <w:pPr>
        <w:rPr>
          <w:rFonts w:hint="eastAsia" w:ascii="宋体" w:hAnsi="宋体" w:eastAsia="宋体" w:cs="宋体"/>
        </w:rPr>
      </w:pPr>
    </w:p>
    <w:p w14:paraId="790953E5">
      <w:pPr>
        <w:pStyle w:val="2"/>
        <w:rPr>
          <w:rFonts w:hint="eastAsia" w:ascii="宋体" w:hAnsi="宋体" w:eastAsia="宋体" w:cs="宋体"/>
        </w:rPr>
      </w:pPr>
    </w:p>
    <w:p w14:paraId="01E02177">
      <w:pPr>
        <w:pStyle w:val="2"/>
        <w:rPr>
          <w:rFonts w:hint="eastAsia" w:ascii="宋体" w:hAnsi="宋体" w:eastAsia="宋体" w:cs="宋体"/>
        </w:rPr>
      </w:pPr>
    </w:p>
    <w:p w14:paraId="7C4C6E13">
      <w:pPr>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仙游县大济镇乌石村文旦柚产业发展项目</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D71F05A">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918D8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2C2B48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D7032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9E9E80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6AAD5DD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704962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114E9A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E1193B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7F42C1D">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432A3"/>
    <w:rsid w:val="18485545"/>
    <w:rsid w:val="1D2E2661"/>
    <w:rsid w:val="2194365A"/>
    <w:rsid w:val="2D3D1EFE"/>
    <w:rsid w:val="33A63193"/>
    <w:rsid w:val="37347837"/>
    <w:rsid w:val="39846181"/>
    <w:rsid w:val="42476352"/>
    <w:rsid w:val="49067070"/>
    <w:rsid w:val="5C6E089F"/>
    <w:rsid w:val="60E76E71"/>
    <w:rsid w:val="65320ED6"/>
    <w:rsid w:val="66E12463"/>
    <w:rsid w:val="6824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28122</Words>
  <Characters>30055</Characters>
  <Lines>0</Lines>
  <Paragraphs>1342</Paragraphs>
  <TotalTime>0</TotalTime>
  <ScaleCrop>false</ScaleCrop>
  <LinksUpToDate>false</LinksUpToDate>
  <CharactersWithSpaces>35947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2025-10-24T01:13:51Z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