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F2FB1">
      <w:pPr>
        <w:widowControl/>
        <w:ind w:firstLine="2711" w:firstLineChars="900"/>
        <w:jc w:val="both"/>
        <w:rPr>
          <w:rFonts w:hint="eastAsia" w:ascii="宋体" w:hAnsi="宋体" w:cs="宋体"/>
          <w:b/>
          <w:bCs/>
          <w:kern w:val="0"/>
          <w:sz w:val="30"/>
          <w:szCs w:val="30"/>
          <w:lang w:val="en-US" w:eastAsia="zh-CN"/>
        </w:rPr>
      </w:pPr>
      <w:r>
        <w:rPr>
          <w:rFonts w:hint="eastAsia" w:ascii="宋体" w:hAnsi="宋体" w:cs="宋体"/>
          <w:b/>
          <w:bCs/>
          <w:kern w:val="0"/>
          <w:sz w:val="30"/>
          <w:szCs w:val="30"/>
          <w:lang w:val="en-US" w:eastAsia="zh-CN"/>
        </w:rPr>
        <w:t>东门社区临时综合市场</w:t>
      </w:r>
    </w:p>
    <w:p w14:paraId="68581C90">
      <w:pPr>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工程联系函</w:t>
      </w:r>
    </w:p>
    <w:p w14:paraId="4215AA86">
      <w:pPr>
        <w:widowControl/>
        <w:jc w:val="left"/>
        <w:rPr>
          <w:rFonts w:ascii="宋体" w:hAnsi="宋体" w:cs="宋体"/>
          <w:kern w:val="0"/>
          <w:sz w:val="32"/>
          <w:szCs w:val="32"/>
        </w:rPr>
      </w:pPr>
      <w:r>
        <w:rPr>
          <w:rFonts w:hint="eastAsia" w:ascii="宋体" w:hAnsi="宋体" w:cs="宋体"/>
          <w:kern w:val="0"/>
          <w:sz w:val="28"/>
          <w:szCs w:val="28"/>
          <w:lang w:val="en-US" w:eastAsia="zh-CN"/>
        </w:rPr>
        <w:t>中晋工程项目管理有限公司</w:t>
      </w:r>
      <w:r>
        <w:rPr>
          <w:rFonts w:hint="eastAsia" w:ascii="宋体" w:hAnsi="宋体" w:cs="宋体"/>
          <w:kern w:val="0"/>
          <w:sz w:val="28"/>
          <w:szCs w:val="28"/>
          <w:lang w:eastAsia="zh-CN"/>
        </w:rPr>
        <w:t>：</w:t>
      </w:r>
      <w:r>
        <w:rPr>
          <w:rFonts w:ascii="宋体" w:hAnsi="宋体" w:cs="宋体"/>
          <w:kern w:val="0"/>
          <w:sz w:val="32"/>
          <w:szCs w:val="32"/>
        </w:rPr>
        <w:t xml:space="preserve"> </w:t>
      </w:r>
    </w:p>
    <w:p w14:paraId="69346835">
      <w:pPr>
        <w:spacing w:line="360" w:lineRule="auto"/>
        <w:ind w:firstLine="640"/>
        <w:rPr>
          <w:rFonts w:hint="eastAsia" w:ascii="宋体" w:hAnsi="宋体" w:cs="宋体"/>
          <w:sz w:val="30"/>
          <w:szCs w:val="30"/>
        </w:rPr>
      </w:pPr>
      <w:r>
        <w:rPr>
          <w:rFonts w:hint="eastAsia" w:ascii="宋体" w:hAnsi="宋体" w:cs="宋体"/>
          <w:sz w:val="24"/>
          <w:szCs w:val="24"/>
        </w:rPr>
        <w:t>我单位委托贵公司编制的东门社区临时综合市场预算按以下说明计入。</w:t>
      </w:r>
    </w:p>
    <w:p w14:paraId="232D97B0">
      <w:pPr>
        <w:numPr>
          <w:ilvl w:val="0"/>
          <w:numId w:val="1"/>
        </w:numPr>
        <w:spacing w:line="360" w:lineRule="auto"/>
        <w:ind w:left="210" w:leftChars="0" w:firstLineChars="0"/>
        <w:rPr>
          <w:rFonts w:hint="default" w:eastAsiaTheme="minorEastAsia"/>
          <w:color w:val="auto"/>
          <w:sz w:val="24"/>
          <w:szCs w:val="24"/>
          <w:lang w:val="en-US" w:eastAsia="zh-CN"/>
        </w:rPr>
      </w:pPr>
      <w:r>
        <w:rPr>
          <w:rFonts w:hint="eastAsia"/>
          <w:color w:val="auto"/>
          <w:sz w:val="24"/>
          <w:szCs w:val="24"/>
          <w:lang w:val="en-US" w:eastAsia="zh-CN"/>
        </w:rPr>
        <w:t>2#公共厕所不计入预算</w:t>
      </w:r>
    </w:p>
    <w:p w14:paraId="720D020B">
      <w:pPr>
        <w:numPr>
          <w:ilvl w:val="0"/>
          <w:numId w:val="1"/>
        </w:numPr>
        <w:spacing w:line="360" w:lineRule="auto"/>
        <w:ind w:left="210" w:leftChars="0" w:firstLineChars="0"/>
        <w:rPr>
          <w:rFonts w:hint="default" w:eastAsiaTheme="minorEastAsia"/>
          <w:color w:val="auto"/>
          <w:sz w:val="24"/>
          <w:szCs w:val="24"/>
          <w:lang w:val="en-US" w:eastAsia="zh-CN"/>
        </w:rPr>
      </w:pPr>
      <w:r>
        <w:rPr>
          <w:rFonts w:hint="eastAsia"/>
          <w:color w:val="auto"/>
          <w:sz w:val="24"/>
          <w:szCs w:val="24"/>
          <w:lang w:val="en-US" w:eastAsia="zh-CN"/>
        </w:rPr>
        <w:t>新增成品公共厕所120000元.</w:t>
      </w:r>
    </w:p>
    <w:p w14:paraId="29CE983D">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外墙200mm厚烧结煤矸石多孔砖，改成50mm厚烧结煤矸石多孔砖,MU7.5</w:t>
      </w:r>
    </w:p>
    <w:p w14:paraId="3B660C2D">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内隔墙200mm/100mm烧结煤矸石多孔砖，改成50、100厚混凝土实心砖，MU7.5</w:t>
      </w:r>
    </w:p>
    <w:p w14:paraId="0C6E0728">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摊位烧结煤矸石实心砖</w:t>
      </w:r>
      <w:r>
        <w:rPr>
          <w:rFonts w:hint="eastAsia"/>
          <w:color w:val="auto"/>
          <w:sz w:val="24"/>
          <w:szCs w:val="24"/>
          <w:lang w:val="en-US" w:eastAsia="zh-CN"/>
        </w:rPr>
        <w:t>改空心砖墙</w:t>
      </w:r>
    </w:p>
    <w:p w14:paraId="750D24CB">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室内排水沟</w:t>
      </w:r>
      <w:r>
        <w:rPr>
          <w:rFonts w:hint="eastAsia"/>
          <w:color w:val="auto"/>
          <w:sz w:val="24"/>
          <w:szCs w:val="24"/>
          <w:lang w:val="en-US" w:eastAsia="zh-CN"/>
        </w:rPr>
        <w:t>内侧贴砖不计入.</w:t>
      </w:r>
    </w:p>
    <w:p w14:paraId="0E20A412">
      <w:pPr>
        <w:numPr>
          <w:ilvl w:val="0"/>
          <w:numId w:val="1"/>
        </w:numPr>
        <w:spacing w:line="360" w:lineRule="auto"/>
        <w:ind w:left="210" w:leftChars="0" w:firstLineChars="0"/>
        <w:rPr>
          <w:rFonts w:hint="default" w:eastAsiaTheme="minorEastAsia"/>
          <w:color w:val="auto"/>
          <w:sz w:val="24"/>
          <w:szCs w:val="24"/>
          <w:lang w:val="en-US" w:eastAsia="zh-CN"/>
        </w:rPr>
      </w:pPr>
      <w:r>
        <w:rPr>
          <w:rFonts w:hint="eastAsia"/>
          <w:color w:val="auto"/>
          <w:sz w:val="24"/>
          <w:szCs w:val="24"/>
          <w:lang w:val="en-US" w:eastAsia="zh-CN"/>
        </w:rPr>
        <w:t>屋面保温隔热，1.5厚聚氯乙烯(PVC)防水卷材P型(织物内增强型)不计入</w:t>
      </w:r>
    </w:p>
    <w:p w14:paraId="7DD40AA5">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菜市场通道、商铺</w:t>
      </w:r>
      <w:r>
        <w:rPr>
          <w:rFonts w:hint="eastAsia"/>
          <w:color w:val="auto"/>
          <w:sz w:val="24"/>
          <w:szCs w:val="24"/>
          <w:lang w:val="en-US" w:eastAsia="zh-CN"/>
        </w:rPr>
        <w:t>地面做法变更120厚混凝土地面</w:t>
      </w:r>
    </w:p>
    <w:p w14:paraId="10F02008">
      <w:pPr>
        <w:numPr>
          <w:ilvl w:val="0"/>
          <w:numId w:val="1"/>
        </w:numPr>
        <w:spacing w:line="360" w:lineRule="auto"/>
        <w:ind w:left="210" w:leftChars="0" w:firstLineChars="0"/>
        <w:rPr>
          <w:rFonts w:hint="default" w:eastAsiaTheme="minorEastAsia"/>
          <w:color w:val="auto"/>
          <w:sz w:val="24"/>
          <w:szCs w:val="24"/>
          <w:lang w:val="en-US" w:eastAsia="zh-CN"/>
        </w:rPr>
      </w:pPr>
      <w:r>
        <w:rPr>
          <w:rFonts w:hint="eastAsia"/>
          <w:color w:val="auto"/>
          <w:sz w:val="24"/>
          <w:szCs w:val="24"/>
          <w:lang w:val="en-US" w:eastAsia="zh-CN"/>
        </w:rPr>
        <w:t>地面土工无纺布隔离层(规格不得小于300g/m2)，1.5厚聚合物水泥防水涂料，φ6.5钢筋网，土工无纺布隔离层(规格不得小于300g/m2)，不计入.</w:t>
      </w:r>
    </w:p>
    <w:p w14:paraId="60A314DA">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铝方格栅600x1200</w:t>
      </w:r>
      <w:r>
        <w:rPr>
          <w:rFonts w:hint="eastAsia"/>
          <w:color w:val="auto"/>
          <w:sz w:val="24"/>
          <w:szCs w:val="24"/>
          <w:lang w:val="en-US" w:eastAsia="zh-CN"/>
        </w:rPr>
        <w:t>吊顶取消.</w:t>
      </w:r>
    </w:p>
    <w:p w14:paraId="7FC87335">
      <w:pPr>
        <w:numPr>
          <w:ilvl w:val="0"/>
          <w:numId w:val="1"/>
        </w:numPr>
        <w:spacing w:line="360" w:lineRule="auto"/>
        <w:ind w:left="210" w:leftChars="0" w:firstLineChars="0"/>
        <w:rPr>
          <w:rFonts w:hint="default" w:eastAsiaTheme="minorEastAsia"/>
          <w:color w:val="auto"/>
          <w:sz w:val="24"/>
          <w:szCs w:val="24"/>
          <w:lang w:val="en-US" w:eastAsia="zh-CN"/>
        </w:rPr>
      </w:pPr>
      <w:r>
        <w:rPr>
          <w:rFonts w:hint="eastAsia"/>
          <w:color w:val="auto"/>
          <w:sz w:val="24"/>
          <w:szCs w:val="24"/>
          <w:lang w:val="en-US" w:eastAsia="zh-CN"/>
        </w:rPr>
        <w:t>内墙面</w:t>
      </w:r>
      <w:r>
        <w:rPr>
          <w:rFonts w:hint="default" w:eastAsiaTheme="minorEastAsia"/>
          <w:color w:val="auto"/>
          <w:sz w:val="24"/>
          <w:szCs w:val="24"/>
          <w:lang w:val="en-US" w:eastAsia="zh-CN"/>
        </w:rPr>
        <w:t>10厚400X800面砖</w:t>
      </w:r>
      <w:r>
        <w:rPr>
          <w:rFonts w:hint="eastAsia"/>
          <w:color w:val="auto"/>
          <w:sz w:val="24"/>
          <w:szCs w:val="24"/>
          <w:lang w:val="en-US" w:eastAsia="zh-CN"/>
        </w:rPr>
        <w:t>取消，摊位10厚400X800木纹面砖取消</w:t>
      </w:r>
    </w:p>
    <w:p w14:paraId="67AB136C">
      <w:pPr>
        <w:numPr>
          <w:ilvl w:val="0"/>
          <w:numId w:val="1"/>
        </w:numPr>
        <w:spacing w:line="360" w:lineRule="auto"/>
        <w:ind w:left="210" w:leftChars="0" w:firstLineChars="0"/>
        <w:rPr>
          <w:rFonts w:hint="default" w:eastAsiaTheme="minorEastAsia"/>
          <w:color w:val="auto"/>
          <w:sz w:val="24"/>
          <w:szCs w:val="24"/>
          <w:lang w:val="en-US" w:eastAsia="zh-CN"/>
        </w:rPr>
      </w:pPr>
      <w:r>
        <w:rPr>
          <w:rFonts w:hint="eastAsia"/>
          <w:color w:val="auto"/>
          <w:sz w:val="24"/>
          <w:szCs w:val="24"/>
          <w:lang w:val="en-US" w:eastAsia="zh-CN"/>
        </w:rPr>
        <w:t>外墙面1.5厚聚氯乙烯(PVC)防水卷材P型(织物内增强型)取消，50厚岩棉板取消</w:t>
      </w:r>
    </w:p>
    <w:p w14:paraId="40F9999C">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满铺耐碱玻纤网格布</w:t>
      </w:r>
      <w:r>
        <w:rPr>
          <w:rFonts w:hint="eastAsia"/>
          <w:color w:val="auto"/>
          <w:sz w:val="24"/>
          <w:szCs w:val="24"/>
          <w:lang w:val="en-US" w:eastAsia="zh-CN"/>
        </w:rPr>
        <w:t>取消</w:t>
      </w:r>
    </w:p>
    <w:p w14:paraId="59605CF8">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在混凝土柱、墙、梁、二次构件与外墙砌体材料的交接部位以及所有外墙砌体材料的外侧迎水面应全面铺设抗裂镀锌钢丝网</w:t>
      </w:r>
      <w:r>
        <w:rPr>
          <w:rFonts w:hint="eastAsia"/>
          <w:color w:val="auto"/>
          <w:sz w:val="24"/>
          <w:szCs w:val="24"/>
          <w:lang w:val="en-US" w:eastAsia="zh-CN"/>
        </w:rPr>
        <w:t>取消</w:t>
      </w:r>
    </w:p>
    <w:p w14:paraId="07181825">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6高透光单银Low+12空气+6透明玻璃</w:t>
      </w:r>
      <w:r>
        <w:rPr>
          <w:rFonts w:hint="eastAsia"/>
          <w:color w:val="auto"/>
          <w:sz w:val="24"/>
          <w:szCs w:val="24"/>
          <w:lang w:val="en-US" w:eastAsia="zh-CN"/>
        </w:rPr>
        <w:t>改为普通钢化玻璃</w:t>
      </w:r>
    </w:p>
    <w:p w14:paraId="2BDBF915">
      <w:pPr>
        <w:numPr>
          <w:ilvl w:val="0"/>
          <w:numId w:val="1"/>
        </w:numPr>
        <w:spacing w:line="360" w:lineRule="auto"/>
        <w:ind w:left="210" w:leftChars="0" w:firstLineChars="0"/>
        <w:rPr>
          <w:rFonts w:hint="default" w:eastAsiaTheme="minorEastAsia"/>
          <w:color w:val="auto"/>
          <w:sz w:val="24"/>
          <w:szCs w:val="24"/>
          <w:lang w:val="en-US" w:eastAsia="zh-CN"/>
        </w:rPr>
      </w:pPr>
      <w:r>
        <w:rPr>
          <w:rFonts w:hint="eastAsia"/>
          <w:color w:val="auto"/>
          <w:sz w:val="24"/>
          <w:szCs w:val="24"/>
          <w:lang w:val="en-US" w:eastAsia="zh-CN"/>
        </w:rPr>
        <w:t>电气工程配电箱 ZAP1，电表箱 SAW1，电表箱 SAW2，电表箱 TAW1~3，电表箱 TAW4取消，电力电缆取消，风扇取消，</w:t>
      </w:r>
    </w:p>
    <w:p w14:paraId="693A6D9F">
      <w:pPr>
        <w:numPr>
          <w:ilvl w:val="0"/>
          <w:numId w:val="1"/>
        </w:numPr>
        <w:spacing w:line="360" w:lineRule="auto"/>
        <w:ind w:left="210" w:leftChars="0" w:firstLineChars="0"/>
        <w:rPr>
          <w:rFonts w:hint="default" w:eastAsiaTheme="minorEastAsia"/>
          <w:color w:val="auto"/>
          <w:sz w:val="24"/>
          <w:szCs w:val="24"/>
          <w:lang w:val="en-US" w:eastAsia="zh-CN"/>
        </w:rPr>
      </w:pPr>
      <w:r>
        <w:rPr>
          <w:rFonts w:hint="default" w:eastAsiaTheme="minorEastAsia"/>
          <w:color w:val="auto"/>
          <w:sz w:val="24"/>
          <w:szCs w:val="24"/>
          <w:lang w:val="en-US" w:eastAsia="zh-CN"/>
        </w:rPr>
        <w:t>应急照明工程</w:t>
      </w:r>
      <w:r>
        <w:rPr>
          <w:rFonts w:hint="eastAsia"/>
          <w:color w:val="auto"/>
          <w:sz w:val="24"/>
          <w:szCs w:val="24"/>
          <w:lang w:val="en-US" w:eastAsia="zh-CN"/>
        </w:rPr>
        <w:t>取消</w:t>
      </w:r>
    </w:p>
    <w:p w14:paraId="77129A04">
      <w:pPr>
        <w:wordWrap w:val="0"/>
        <w:ind w:right="560"/>
        <w:rPr>
          <w:rFonts w:hint="eastAsia" w:ascii="宋体" w:hAnsi="宋体" w:cs="宋体"/>
          <w:sz w:val="28"/>
          <w:szCs w:val="28"/>
        </w:rPr>
      </w:pPr>
    </w:p>
    <w:p w14:paraId="3275C7B0">
      <w:pPr>
        <w:tabs>
          <w:tab w:val="left" w:pos="9040"/>
        </w:tabs>
        <w:wordWrap w:val="0"/>
        <w:ind w:right="0" w:rightChars="0"/>
        <w:jc w:val="right"/>
        <w:rPr>
          <w:rFonts w:ascii="宋体" w:cs="宋体"/>
          <w:sz w:val="28"/>
          <w:szCs w:val="28"/>
        </w:rPr>
      </w:pPr>
      <w:r>
        <w:rPr>
          <w:rFonts w:hint="eastAsia" w:ascii="宋体" w:hAnsi="宋体" w:cs="宋体"/>
          <w:sz w:val="28"/>
          <w:szCs w:val="28"/>
          <w:lang w:val="en-US" w:eastAsia="zh-CN"/>
        </w:rPr>
        <w:t xml:space="preserve">                       </w:t>
      </w:r>
      <w:r>
        <w:rPr>
          <w:rFonts w:hint="eastAsia" w:ascii="宋体" w:hAnsi="宋体" w:cs="宋体"/>
          <w:sz w:val="28"/>
          <w:szCs w:val="28"/>
        </w:rPr>
        <w:t>建设单位</w:t>
      </w:r>
      <w:r>
        <w:rPr>
          <w:rFonts w:ascii="宋体" w:hAnsi="宋体" w:cs="宋体"/>
          <w:sz w:val="28"/>
          <w:szCs w:val="28"/>
        </w:rPr>
        <w:t>:</w:t>
      </w:r>
      <w:r>
        <w:rPr>
          <w:rFonts w:hint="eastAsia" w:ascii="宋体" w:hAnsi="宋体" w:cs="宋体"/>
          <w:sz w:val="28"/>
          <w:szCs w:val="28"/>
          <w:lang w:eastAsia="zh-CN"/>
        </w:rPr>
        <w:t>仙游县鲤城街道东门社区居民委员会</w:t>
      </w:r>
      <w:bookmarkStart w:id="0" w:name="_GoBack"/>
      <w:bookmarkEnd w:id="0"/>
      <w:r>
        <w:rPr>
          <w:rFonts w:ascii="宋体" w:hAnsi="宋体" w:cs="宋体"/>
          <w:sz w:val="28"/>
          <w:szCs w:val="28"/>
        </w:rPr>
        <w:t xml:space="preserve">                </w:t>
      </w:r>
      <w:r>
        <w:rPr>
          <w:rFonts w:ascii="宋体" w:cs="宋体"/>
          <w:sz w:val="28"/>
          <w:szCs w:val="28"/>
        </w:rPr>
        <w:t xml:space="preserve">   </w:t>
      </w:r>
      <w:r>
        <w:rPr>
          <w:rFonts w:hint="eastAsia" w:ascii="宋体" w:hAnsi="宋体" w:cs="宋体"/>
          <w:sz w:val="28"/>
          <w:szCs w:val="28"/>
        </w:rPr>
        <w:t>日</w:t>
      </w:r>
      <w:r>
        <w:rPr>
          <w:rFonts w:ascii="宋体" w:hAnsi="宋体" w:cs="宋体"/>
          <w:sz w:val="28"/>
          <w:szCs w:val="28"/>
        </w:rPr>
        <w:t xml:space="preserve">  </w:t>
      </w:r>
      <w:r>
        <w:rPr>
          <w:rFonts w:hint="eastAsia" w:ascii="宋体" w:hAnsi="宋体" w:cs="宋体"/>
          <w:sz w:val="28"/>
          <w:szCs w:val="28"/>
        </w:rPr>
        <w:t>期：</w:t>
      </w:r>
      <w:r>
        <w:rPr>
          <w:rFonts w:ascii="宋体" w:hAnsi="宋体" w:cs="宋体"/>
          <w:sz w:val="28"/>
          <w:szCs w:val="28"/>
        </w:rPr>
        <w:t>202</w:t>
      </w:r>
      <w:r>
        <w:rPr>
          <w:rFonts w:hint="eastAsia" w:ascii="宋体" w:hAnsi="宋体" w:cs="宋体"/>
          <w:sz w:val="28"/>
          <w:szCs w:val="28"/>
          <w:lang w:val="en-US" w:eastAsia="zh-CN"/>
        </w:rPr>
        <w:t>5</w:t>
      </w:r>
      <w:r>
        <w:rPr>
          <w:rFonts w:hint="eastAsia" w:ascii="宋体" w:hAnsi="宋体" w:cs="宋体"/>
          <w:sz w:val="28"/>
          <w:szCs w:val="28"/>
        </w:rPr>
        <w:t>年</w:t>
      </w:r>
      <w:r>
        <w:rPr>
          <w:rFonts w:hint="eastAsia" w:ascii="宋体" w:hAnsi="宋体" w:cs="宋体"/>
          <w:sz w:val="28"/>
          <w:szCs w:val="28"/>
          <w:lang w:val="en-US" w:eastAsia="zh-CN"/>
        </w:rPr>
        <w:t>8</w:t>
      </w:r>
      <w:r>
        <w:rPr>
          <w:rFonts w:hint="eastAsia" w:ascii="宋体" w:hAnsi="宋体" w:cs="宋体"/>
          <w:sz w:val="28"/>
          <w:szCs w:val="28"/>
        </w:rPr>
        <w:t>月</w:t>
      </w:r>
      <w:r>
        <w:rPr>
          <w:rFonts w:hint="eastAsia" w:ascii="宋体" w:hAnsi="宋体" w:cs="宋体"/>
          <w:sz w:val="28"/>
          <w:szCs w:val="28"/>
          <w:lang w:val="en-US" w:eastAsia="zh-CN"/>
        </w:rPr>
        <w:t>30</w:t>
      </w:r>
      <w:r>
        <w:rPr>
          <w:rFonts w:hint="eastAsia" w:ascii="宋体" w:hAnsi="宋体" w:cs="宋体"/>
          <w:sz w:val="28"/>
          <w:szCs w:val="28"/>
        </w:rPr>
        <w:t>日</w:t>
      </w:r>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FA0241"/>
    <w:multiLevelType w:val="singleLevel"/>
    <w:tmpl w:val="D3FA0241"/>
    <w:lvl w:ilvl="0" w:tentative="0">
      <w:start w:val="1"/>
      <w:numFmt w:val="decimal"/>
      <w:suff w:val="space"/>
      <w:lvlText w:val="%1."/>
      <w:lvlJc w:val="left"/>
      <w:pPr>
        <w:ind w:left="21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FmMThiNTNhY2UxMjhlODM1N2VmZWY0OTdmZjk4ZDgifQ=="/>
  </w:docVars>
  <w:rsids>
    <w:rsidRoot w:val="503F3505"/>
    <w:rsid w:val="000423F1"/>
    <w:rsid w:val="000613B4"/>
    <w:rsid w:val="00062EA1"/>
    <w:rsid w:val="00076430"/>
    <w:rsid w:val="00087F95"/>
    <w:rsid w:val="000938EC"/>
    <w:rsid w:val="000E0483"/>
    <w:rsid w:val="000E3292"/>
    <w:rsid w:val="00126A1F"/>
    <w:rsid w:val="001861F5"/>
    <w:rsid w:val="001A3116"/>
    <w:rsid w:val="001C2CAD"/>
    <w:rsid w:val="001E7205"/>
    <w:rsid w:val="001F57E6"/>
    <w:rsid w:val="002143D7"/>
    <w:rsid w:val="00214BD1"/>
    <w:rsid w:val="002635C5"/>
    <w:rsid w:val="00265B81"/>
    <w:rsid w:val="0026799D"/>
    <w:rsid w:val="00280DA5"/>
    <w:rsid w:val="00287863"/>
    <w:rsid w:val="00297C49"/>
    <w:rsid w:val="002A008E"/>
    <w:rsid w:val="002A5BA3"/>
    <w:rsid w:val="002B7369"/>
    <w:rsid w:val="002F3874"/>
    <w:rsid w:val="003230E8"/>
    <w:rsid w:val="00356BBF"/>
    <w:rsid w:val="003740A5"/>
    <w:rsid w:val="003C6D79"/>
    <w:rsid w:val="00415E8E"/>
    <w:rsid w:val="004767F8"/>
    <w:rsid w:val="004C10F8"/>
    <w:rsid w:val="004C31B1"/>
    <w:rsid w:val="004C7E1E"/>
    <w:rsid w:val="004D4E76"/>
    <w:rsid w:val="004F0D0A"/>
    <w:rsid w:val="00521DD2"/>
    <w:rsid w:val="00533416"/>
    <w:rsid w:val="00587814"/>
    <w:rsid w:val="005B3627"/>
    <w:rsid w:val="00610657"/>
    <w:rsid w:val="006732DB"/>
    <w:rsid w:val="00686E34"/>
    <w:rsid w:val="006961C0"/>
    <w:rsid w:val="006D24BB"/>
    <w:rsid w:val="006D570E"/>
    <w:rsid w:val="006F3283"/>
    <w:rsid w:val="0072094E"/>
    <w:rsid w:val="007213BB"/>
    <w:rsid w:val="00736342"/>
    <w:rsid w:val="00753020"/>
    <w:rsid w:val="0078308F"/>
    <w:rsid w:val="00793323"/>
    <w:rsid w:val="007B0CD4"/>
    <w:rsid w:val="008543A4"/>
    <w:rsid w:val="00857070"/>
    <w:rsid w:val="00895A4A"/>
    <w:rsid w:val="008E4FF9"/>
    <w:rsid w:val="00901EA7"/>
    <w:rsid w:val="009077D4"/>
    <w:rsid w:val="009301AD"/>
    <w:rsid w:val="009413A5"/>
    <w:rsid w:val="009757A9"/>
    <w:rsid w:val="00981AC0"/>
    <w:rsid w:val="00985E20"/>
    <w:rsid w:val="009A319D"/>
    <w:rsid w:val="009A504C"/>
    <w:rsid w:val="009B05E3"/>
    <w:rsid w:val="009D3930"/>
    <w:rsid w:val="009E0855"/>
    <w:rsid w:val="009E6240"/>
    <w:rsid w:val="009F7D80"/>
    <w:rsid w:val="00A2363E"/>
    <w:rsid w:val="00A549D5"/>
    <w:rsid w:val="00AE704E"/>
    <w:rsid w:val="00AF0A62"/>
    <w:rsid w:val="00B0082C"/>
    <w:rsid w:val="00B1784B"/>
    <w:rsid w:val="00B26224"/>
    <w:rsid w:val="00B46C7C"/>
    <w:rsid w:val="00BB0B4E"/>
    <w:rsid w:val="00BE55BF"/>
    <w:rsid w:val="00C3149C"/>
    <w:rsid w:val="00C642E6"/>
    <w:rsid w:val="00C80F29"/>
    <w:rsid w:val="00C92FAF"/>
    <w:rsid w:val="00CC24DD"/>
    <w:rsid w:val="00CC613C"/>
    <w:rsid w:val="00CD34B9"/>
    <w:rsid w:val="00D660D2"/>
    <w:rsid w:val="00DB089C"/>
    <w:rsid w:val="00DC0340"/>
    <w:rsid w:val="00DD7786"/>
    <w:rsid w:val="00DE05E1"/>
    <w:rsid w:val="00DE61CF"/>
    <w:rsid w:val="00E1081B"/>
    <w:rsid w:val="00E338C8"/>
    <w:rsid w:val="00E461DE"/>
    <w:rsid w:val="00E56B1A"/>
    <w:rsid w:val="00E577B7"/>
    <w:rsid w:val="00E6088F"/>
    <w:rsid w:val="00E62C45"/>
    <w:rsid w:val="00E77533"/>
    <w:rsid w:val="00E94684"/>
    <w:rsid w:val="00E9660D"/>
    <w:rsid w:val="00ED0B21"/>
    <w:rsid w:val="00EE4BAA"/>
    <w:rsid w:val="00F313B5"/>
    <w:rsid w:val="00F70AAE"/>
    <w:rsid w:val="00FB3122"/>
    <w:rsid w:val="00FC0CA7"/>
    <w:rsid w:val="00FE7688"/>
    <w:rsid w:val="0B9422EC"/>
    <w:rsid w:val="0C8B15BF"/>
    <w:rsid w:val="12795F15"/>
    <w:rsid w:val="1A706137"/>
    <w:rsid w:val="1B6B3226"/>
    <w:rsid w:val="1F430A30"/>
    <w:rsid w:val="2B916AD4"/>
    <w:rsid w:val="2FBB4AAF"/>
    <w:rsid w:val="30112B90"/>
    <w:rsid w:val="31D7566C"/>
    <w:rsid w:val="38B528A1"/>
    <w:rsid w:val="3FB27FC1"/>
    <w:rsid w:val="470E5A31"/>
    <w:rsid w:val="4D5460E6"/>
    <w:rsid w:val="4DC85278"/>
    <w:rsid w:val="503F3505"/>
    <w:rsid w:val="52950FA7"/>
    <w:rsid w:val="52D023A8"/>
    <w:rsid w:val="5B561DE4"/>
    <w:rsid w:val="61813869"/>
    <w:rsid w:val="63892462"/>
    <w:rsid w:val="65C53F35"/>
    <w:rsid w:val="680A39E9"/>
    <w:rsid w:val="69AB2F2C"/>
    <w:rsid w:val="6A42280A"/>
    <w:rsid w:val="7128750A"/>
    <w:rsid w:val="717F517D"/>
    <w:rsid w:val="71CC3A70"/>
    <w:rsid w:val="761B3BB2"/>
    <w:rsid w:val="76E47C83"/>
    <w:rsid w:val="793B01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Footer Char"/>
    <w:basedOn w:val="6"/>
    <w:link w:val="2"/>
    <w:semiHidden/>
    <w:qFormat/>
    <w:locked/>
    <w:uiPriority w:val="99"/>
    <w:rPr>
      <w:rFonts w:ascii="Calibri" w:hAnsi="Calibri" w:cs="Times New Roman"/>
      <w:sz w:val="18"/>
      <w:szCs w:val="18"/>
    </w:rPr>
  </w:style>
  <w:style w:type="character" w:customStyle="1" w:styleId="8">
    <w:name w:val="Header Char"/>
    <w:basedOn w:val="6"/>
    <w:link w:val="3"/>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494</Words>
  <Characters>611</Characters>
  <Lines>0</Lines>
  <Paragraphs>0</Paragraphs>
  <TotalTime>3</TotalTime>
  <ScaleCrop>false</ScaleCrop>
  <LinksUpToDate>false</LinksUpToDate>
  <CharactersWithSpaces>665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2016-10-19T12:04:00Z</dcterms:created>
  <dc:creator>Administrator</dc:creator>
  <cp:lastModifiedBy>NTKO</cp:lastModifiedBy>
  <cp:lastPrinted>2025-09-17T07:09:23Z</cp:lastPrinted>
  <dcterms:modified xsi:type="dcterms:W3CDTF">2025-09-17T07:09:28Z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C4BD8F72526945D1A84355BE6F87A53B</vt:lpwstr>
  </property>
  <property fmtid="{D5CDD505-2E9C-101B-9397-08002B2CF9AE}" pid="4" name="KSOTemplateDocerSaveRecord">
    <vt:lpwstr>eyJoZGlkIjoiNWQ2NmIzODRkMzkzNmQ5MzAwMDhlNmJhNzJlZGNhMzMiLCJ1c2VySWQiOiI0MzgwOTAxMTMifQ==</vt:lpwstr>
  </property>
</Properties>
</file>