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附件3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201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eastAsia="zh-CN"/>
        </w:rPr>
        <w:t>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按照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国务院关于推进政府预算信息公开的决策部署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《福建省财政厅关于深入推进预决算公开工作的通知》（闽财预[2014]106号）有关规定，根据各部门单位上报的201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6"/>
          <w:szCs w:val="36"/>
        </w:rPr>
        <w:t>年“三公”经费预算情况，经县财政局汇总，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201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仙游县县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本级使用一般公共预算拨款安排的“三公”经费预算数为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1036万元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比上年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预算数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增加202万元，增长24.22%，“三公”经费增加主要原因是公安系统更新车辆购置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。其中：因公出国（境）经费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万元，比上年预算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数减少1万元，下降10%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；公务接待费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万元，比上年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预算数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11.46%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；公务用车运行经费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万元，比上年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预算数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减少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11.63%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，公务用车购置经费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432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zh-CN"/>
        </w:rPr>
        <w:t>上年预算数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增加281万元，增长186.09%。</w:t>
      </w: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sectPr>
      <w:pgSz w:w="11906" w:h="16838"/>
      <w:pgMar w:top="1134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607D42"/>
    <w:rsid w:val="45875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dell</cp:lastModifiedBy>
  <cp:lastPrinted>2018-05-24T00:37:00Z</cp:lastPrinted>
  <dcterms:modified xsi:type="dcterms:W3CDTF">2019-03-16T04:23:50Z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