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80" w:lineRule="exact"/>
        <w:ind w:firstLine="0"/>
        <w:jc w:val="center"/>
        <w:rPr>
          <w:rFonts w:ascii="黑体" w:hAnsi="黑体" w:eastAsia="黑体" w:cs="仿宋"/>
          <w:spacing w:val="-6"/>
        </w:rPr>
      </w:pPr>
      <w:r>
        <w:rPr>
          <w:rFonts w:hint="eastAsia" w:ascii="方正小标宋简体" w:hAnsi="仿宋" w:eastAsia="方正小标宋简体" w:cs="黑体"/>
          <w:kern w:val="2"/>
          <w:sz w:val="44"/>
          <w:szCs w:val="44"/>
          <w:lang w:val="en-US" w:eastAsia="zh-CN"/>
        </w:rPr>
        <w:t>2019</w:t>
      </w:r>
      <w:r>
        <w:rPr>
          <w:rFonts w:hint="eastAsia" w:ascii="方正小标宋简体" w:hAnsi="仿宋" w:eastAsia="方正小标宋简体" w:cs="黑体"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="黑体"/>
          <w:kern w:val="2"/>
          <w:sz w:val="44"/>
          <w:szCs w:val="44"/>
          <w:lang w:val="en-US" w:eastAsia="zh-CN"/>
        </w:rPr>
        <w:t>仙游县</w:t>
      </w:r>
      <w:r>
        <w:rPr>
          <w:rFonts w:hint="eastAsia" w:ascii="方正小标宋简体" w:hAnsi="仿宋" w:eastAsia="方正小标宋简体" w:cs="黑体"/>
          <w:kern w:val="2"/>
          <w:sz w:val="44"/>
          <w:szCs w:val="44"/>
        </w:rPr>
        <w:t>地方政府债务情况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8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年全县新增政府债务限额1</w:t>
      </w:r>
      <w:r>
        <w:rPr>
          <w:rFonts w:hint="eastAsia" w:ascii="仿宋" w:hAnsi="仿宋" w:eastAsia="仿宋" w:cs="仿宋"/>
          <w:spacing w:val="-6"/>
          <w:lang w:val="en-US" w:eastAsia="zh-CN"/>
        </w:rPr>
        <w:t>2.15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8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年底，全县政府债务余额预计执行数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69.3345</w:t>
      </w:r>
      <w:r>
        <w:rPr>
          <w:rFonts w:hint="eastAsia" w:ascii="仿宋" w:hAnsi="仿宋" w:eastAsia="仿宋" w:cs="仿宋"/>
          <w:spacing w:val="-6"/>
        </w:rPr>
        <w:t>亿元，债务余额严格控制在</w:t>
      </w:r>
      <w:r>
        <w:rPr>
          <w:rFonts w:hint="eastAsia" w:ascii="仿宋" w:hAnsi="仿宋" w:eastAsia="仿宋" w:cs="仿宋"/>
          <w:spacing w:val="-6"/>
          <w:highlight w:val="none"/>
        </w:rPr>
        <w:t>中央核定的限额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71.9046</w:t>
      </w:r>
      <w:r>
        <w:rPr>
          <w:rFonts w:hint="eastAsia" w:ascii="仿宋" w:hAnsi="仿宋" w:eastAsia="仿宋" w:cs="仿宋"/>
          <w:spacing w:val="-6"/>
        </w:rPr>
        <w:t>亿元内。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8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2018</w:t>
      </w:r>
      <w:r>
        <w:rPr>
          <w:rFonts w:hint="eastAsia" w:ascii="仿宋" w:hAnsi="仿宋" w:eastAsia="仿宋" w:cs="仿宋"/>
          <w:spacing w:val="-6"/>
        </w:rPr>
        <w:t>年全县由省级代为发行地方政府债券15</w:t>
      </w:r>
      <w:r>
        <w:rPr>
          <w:rFonts w:hint="eastAsia" w:ascii="仿宋" w:hAnsi="仿宋" w:eastAsia="仿宋" w:cs="仿宋"/>
          <w:spacing w:val="-6"/>
          <w:lang w:val="en-US" w:eastAsia="zh-CN"/>
        </w:rPr>
        <w:t>.4601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8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12.0367</w:t>
      </w:r>
      <w:r>
        <w:rPr>
          <w:rFonts w:hint="eastAsia" w:ascii="仿宋" w:hAnsi="仿宋" w:eastAsia="仿宋" w:cs="仿宋"/>
          <w:spacing w:val="-6"/>
        </w:rPr>
        <w:t>亿元、由省级代为发行再融资债券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1.2864</w:t>
      </w:r>
      <w:r>
        <w:rPr>
          <w:rFonts w:hint="eastAsia" w:ascii="仿宋" w:hAnsi="仿宋" w:eastAsia="仿宋" w:cs="仿宋"/>
          <w:spacing w:val="-6"/>
        </w:rPr>
        <w:t>亿元。由省级代为发行</w:t>
      </w:r>
      <w:r>
        <w:rPr>
          <w:rFonts w:hint="eastAsia" w:ascii="仿宋" w:hAnsi="仿宋" w:eastAsia="仿宋" w:cs="仿宋"/>
          <w:spacing w:val="-6"/>
          <w:lang w:val="en-US" w:eastAsia="zh-CN"/>
        </w:rPr>
        <w:t>置换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2.1370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  <w:bookmarkStart w:id="0" w:name="_GoBack"/>
      <w:bookmarkEnd w:id="0"/>
    </w:p>
    <w:p>
      <w:pPr>
        <w:pStyle w:val="8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18</w:t>
      </w:r>
      <w:r>
        <w:rPr>
          <w:rFonts w:hint="eastAsia" w:ascii="仿宋" w:hAnsi="仿宋" w:eastAsia="仿宋" w:cs="仿宋"/>
          <w:spacing w:val="-6"/>
        </w:rPr>
        <w:t>年全县地方政府债券还本付息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5.2954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8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19</w:t>
      </w:r>
      <w:r>
        <w:rPr>
          <w:rFonts w:hint="eastAsia" w:ascii="仿宋" w:hAnsi="仿宋" w:eastAsia="仿宋" w:cs="仿宋"/>
          <w:spacing w:val="-6"/>
        </w:rPr>
        <w:t>年全县地方政府债券还本付息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4.0811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trike w:val="0"/>
          <w:dstrike w:val="0"/>
          <w:color w:val="auto"/>
          <w:spacing w:val="-6"/>
          <w:highlight w:val="none"/>
        </w:rPr>
      </w:pPr>
      <w:r>
        <w:rPr>
          <w:rFonts w:hint="eastAsia" w:ascii="黑体" w:hAnsi="黑体" w:eastAsia="黑体" w:cs="仿宋"/>
          <w:strike w:val="0"/>
          <w:dstrike w:val="0"/>
          <w:color w:val="auto"/>
          <w:spacing w:val="-6"/>
          <w:highlight w:val="none"/>
        </w:rPr>
        <w:t>五、地方政府债券资金使用安排</w:t>
      </w:r>
    </w:p>
    <w:p>
      <w:pPr>
        <w:widowControl w:val="0"/>
        <w:wordWrap/>
        <w:adjustRightInd/>
        <w:snapToGrid/>
        <w:spacing w:after="0" w:afterAutospacing="0" w:line="540" w:lineRule="exact"/>
        <w:ind w:right="0"/>
        <w:jc w:val="both"/>
        <w:textAlignment w:val="auto"/>
        <w:outlineLvl w:val="9"/>
        <w:rPr>
          <w:rFonts w:ascii="仿宋" w:hAnsi="仿宋" w:eastAsia="仿宋" w:cs="仿宋"/>
          <w:color w:val="auto"/>
          <w:spacing w:val="-6"/>
        </w:rPr>
      </w:pPr>
      <w:r>
        <w:rPr>
          <w:rFonts w:hint="eastAsia" w:ascii="宋体" w:hAnsi="宋体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20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19</w:t>
      </w:r>
      <w:r>
        <w:rPr>
          <w:rFonts w:hint="default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年省财政厅下达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我</w:t>
      </w:r>
      <w:r>
        <w:rPr>
          <w:rFonts w:hint="default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县新增债务限额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6.39亿元，其中一般债务限额1.7亿元，专项债务限额4.69亿元。主要用于：仙菜线城关来洋至书峰鲤岭段改建0.3亿元、莆永高速公路仙游城区互通A、F匝道拓宽工程0.12亿元、工艺产业园农村公路建设项目0.26亿元、榜头镇小城市（一期）建设项目0.4亿元、木兰溪防洪工程盖尾段工程项目0.12亿元、木兰溪防洪工程仙度段项目0.35亿元、鲤北片区基础设施建设项目0.11亿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2"/>
          <w:szCs w:val="24"/>
          <w:lang w:val="en-US" w:eastAsia="zh-CN" w:bidi="ar-SA"/>
        </w:rPr>
        <w:t>鲤南片区西华路市政工程0.04亿元。棚改项目2亿元、土储计划项目2.69亿元。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28C7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semiHidden/>
    <w:unhideWhenUsed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paragraph" w:customStyle="1" w:styleId="8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陈建</cp:lastModifiedBy>
  <cp:lastPrinted>2021-05-31T10:34:00Z</cp:lastPrinted>
  <dcterms:modified xsi:type="dcterms:W3CDTF">2021-06-16T08:57:29Z</dcterms:modified>
  <dc:title>2019年仙游县地方政府债务情况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B5FADD032C424090925716C14B47B3AA</vt:lpwstr>
  </property>
</Properties>
</file>