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00" w:lineRule="exact"/>
        <w:jc w:val="left"/>
        <w:rPr>
          <w:rFonts w:ascii="仿宋_GB2312" w:hAnsi="方正小标宋简体" w:eastAsia="仿宋_GB2312" w:cs="仿宋_GB2312"/>
          <w:kern w:val="0"/>
          <w:sz w:val="32"/>
          <w:szCs w:val="32"/>
          <w:shd w:val="clear" w:color="auto" w:fill="FFFFFF"/>
        </w:rPr>
      </w:pPr>
      <w:bookmarkStart w:id="0" w:name="_GoBack"/>
      <w:bookmarkEnd w:id="0"/>
      <w:r>
        <w:rPr>
          <w:rFonts w:hint="eastAsia" w:ascii="仿宋_GB2312" w:hAnsi="方正小标宋简体" w:eastAsia="仿宋_GB2312" w:cs="仿宋_GB2312"/>
          <w:kern w:val="0"/>
          <w:sz w:val="32"/>
          <w:szCs w:val="32"/>
          <w:shd w:val="clear" w:color="auto" w:fill="FFFFFF"/>
        </w:rPr>
        <w:t>附件1：</w:t>
      </w:r>
    </w:p>
    <w:p>
      <w:pPr>
        <w:widowControl/>
        <w:spacing w:before="100" w:beforeAutospacing="1" w:after="100" w:afterAutospacing="1" w:line="500" w:lineRule="exact"/>
        <w:jc w:val="center"/>
        <w:rPr>
          <w:rFonts w:ascii="仿宋_GB2312" w:hAnsi="方正小标宋简体" w:eastAsia="仿宋_GB2312" w:cs="仿宋_GB2312"/>
          <w:b/>
          <w:kern w:val="0"/>
          <w:sz w:val="32"/>
          <w:szCs w:val="32"/>
          <w:shd w:val="clear" w:color="auto" w:fill="FFFFFF"/>
        </w:rPr>
      </w:pPr>
      <w:r>
        <w:rPr>
          <w:rFonts w:hint="eastAsia" w:ascii="仿宋_GB2312" w:hAnsi="方正小标宋简体" w:eastAsia="仿宋_GB2312" w:cs="仿宋_GB2312"/>
          <w:b/>
          <w:kern w:val="0"/>
          <w:sz w:val="32"/>
          <w:szCs w:val="32"/>
          <w:shd w:val="clear" w:color="auto" w:fill="FFFFFF"/>
        </w:rPr>
        <w:t>设备技术参数</w:t>
      </w:r>
    </w:p>
    <w:p>
      <w:pPr>
        <w:widowControl/>
        <w:numPr>
          <w:ilvl w:val="0"/>
          <w:numId w:val="1"/>
        </w:numPr>
        <w:shd w:val="clear" w:color="auto" w:fill="FFFFFF"/>
        <w:spacing w:line="400" w:lineRule="exact"/>
        <w:ind w:firstLine="480" w:firstLine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 高压灭菌锅技术要求</w:t>
      </w:r>
    </w:p>
    <w:p>
      <w:pPr>
        <w:widowControl/>
        <w:numPr>
          <w:ilvl w:val="0"/>
          <w:numId w:val="2"/>
        </w:numPr>
        <w:shd w:val="clear" w:color="auto" w:fill="FFFFFF"/>
        <w:spacing w:line="400" w:lineRule="exact"/>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设备用途:在高压和高温条件下对样品进行加热消解、灭菌处理。</w:t>
      </w:r>
    </w:p>
    <w:p>
      <w:pPr>
        <w:widowControl/>
        <w:numPr>
          <w:ilvl w:val="0"/>
          <w:numId w:val="2"/>
        </w:numPr>
        <w:shd w:val="clear" w:color="auto" w:fill="FFFFFF"/>
        <w:spacing w:line="400" w:lineRule="exact"/>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配置要求：含网篮等</w:t>
      </w:r>
    </w:p>
    <w:p>
      <w:pPr>
        <w:widowControl/>
        <w:numPr>
          <w:ilvl w:val="0"/>
          <w:numId w:val="2"/>
        </w:numPr>
        <w:shd w:val="clear" w:color="auto" w:fill="FFFFFF"/>
        <w:spacing w:line="400" w:lineRule="exact"/>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技术参数</w:t>
      </w:r>
    </w:p>
    <w:p>
      <w:pPr>
        <w:widowControl/>
        <w:numPr>
          <w:ilvl w:val="0"/>
          <w:numId w:val="3"/>
        </w:numPr>
        <w:shd w:val="clear" w:color="auto" w:fill="FFFFFF"/>
        <w:spacing w:line="400" w:lineRule="exact"/>
        <w:ind w:firstLine="480" w:firstLine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不锈钢材质制成,轻启翻盖结构，控制面板的倾斜设计</w:t>
      </w:r>
    </w:p>
    <w:p>
      <w:pPr>
        <w:widowControl/>
        <w:numPr>
          <w:ilvl w:val="0"/>
          <w:numId w:val="3"/>
        </w:numPr>
        <w:shd w:val="clear" w:color="auto" w:fill="FFFFFF"/>
        <w:spacing w:line="400" w:lineRule="exact"/>
        <w:ind w:firstLine="480" w:firstLine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微电脑程序控制灭菌程序中的加热和计时过程，LED数码管和指示灯,动态显示设备运行状态，电脑板具有PID功能,通过自整定修正加热参数,可以防止冲温。控温精度达到±0.5℃以内</w:t>
      </w:r>
    </w:p>
    <w:p>
      <w:pPr>
        <w:widowControl/>
        <w:numPr>
          <w:ilvl w:val="0"/>
          <w:numId w:val="3"/>
        </w:numPr>
        <w:shd w:val="clear" w:color="auto" w:fill="FFFFFF"/>
        <w:spacing w:line="400" w:lineRule="exact"/>
        <w:ind w:firstLine="480" w:firstLine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低水位自动补水(防干烧)功能,且有声光报警系统,补完水自动恢复加热；重力排汽法设计，腔内纯蒸汽环境,灭菌效果可靠；径向自胀式硅橡胶密封圈温度超过设定值2℃,自动停止加热,同时声光报警</w:t>
      </w:r>
    </w:p>
    <w:p>
      <w:pPr>
        <w:widowControl/>
        <w:numPr>
          <w:ilvl w:val="0"/>
          <w:numId w:val="3"/>
        </w:numPr>
        <w:shd w:val="clear" w:color="auto" w:fill="FFFFFF"/>
        <w:spacing w:line="400" w:lineRule="exact"/>
        <w:ind w:firstLine="480" w:firstLine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超压到0.17MPa安全阀自动泄放蒸汽,放水阀可以排放桶内浓缩水,防止结垢</w:t>
      </w:r>
    </w:p>
    <w:p>
      <w:pPr>
        <w:widowControl/>
        <w:numPr>
          <w:ilvl w:val="0"/>
          <w:numId w:val="3"/>
        </w:numPr>
        <w:shd w:val="clear" w:color="auto" w:fill="FFFFFF"/>
        <w:spacing w:line="400" w:lineRule="exact"/>
        <w:ind w:firstLine="480" w:firstLine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容积(L)：≥75，功率（W）：≥3000，补水压力(MPa)：0.2~0.4</w:t>
      </w:r>
    </w:p>
    <w:p>
      <w:pPr>
        <w:widowControl/>
        <w:numPr>
          <w:ilvl w:val="0"/>
          <w:numId w:val="3"/>
        </w:numPr>
        <w:shd w:val="clear" w:color="auto" w:fill="FFFFFF"/>
        <w:spacing w:line="400" w:lineRule="exact"/>
        <w:ind w:firstLine="480" w:firstLine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工作电源：220V/50Hz，工作温度(℃)：室温+5～126，保温时间：1-99.59min/h</w:t>
      </w:r>
    </w:p>
    <w:p>
      <w:pPr>
        <w:widowControl/>
        <w:numPr>
          <w:ilvl w:val="0"/>
          <w:numId w:val="1"/>
        </w:numPr>
        <w:shd w:val="clear" w:color="auto" w:fill="FFFFFF"/>
        <w:spacing w:line="400" w:lineRule="exact"/>
        <w:ind w:firstLine="480" w:firstLine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生化培养箱技术要求</w:t>
      </w:r>
    </w:p>
    <w:p>
      <w:pPr>
        <w:widowControl/>
        <w:numPr>
          <w:ilvl w:val="0"/>
          <w:numId w:val="4"/>
        </w:numPr>
        <w:shd w:val="clear" w:color="auto" w:fill="FFFFFF"/>
        <w:spacing w:line="400" w:lineRule="exact"/>
        <w:ind w:left="420" w:left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设备用途：用作水体分析和BOD测定的专用恒温设备。</w:t>
      </w:r>
    </w:p>
    <w:p>
      <w:pPr>
        <w:widowControl/>
        <w:numPr>
          <w:ilvl w:val="0"/>
          <w:numId w:val="4"/>
        </w:numPr>
        <w:shd w:val="clear" w:color="auto" w:fill="FFFFFF"/>
        <w:spacing w:line="400" w:lineRule="exact"/>
        <w:ind w:left="420" w:left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配置要求：含BOD插座、载物托架等</w:t>
      </w:r>
    </w:p>
    <w:p>
      <w:pPr>
        <w:widowControl/>
        <w:numPr>
          <w:ilvl w:val="0"/>
          <w:numId w:val="4"/>
        </w:numPr>
        <w:shd w:val="clear" w:color="auto" w:fill="FFFFFF"/>
        <w:spacing w:line="400" w:lineRule="exact"/>
        <w:ind w:left="420" w:left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技术参数</w:t>
      </w:r>
    </w:p>
    <w:p>
      <w:pPr>
        <w:widowControl/>
        <w:numPr>
          <w:ilvl w:val="0"/>
          <w:numId w:val="5"/>
        </w:numPr>
        <w:shd w:val="clear" w:color="auto" w:fill="FFFFFF"/>
        <w:spacing w:line="400" w:lineRule="exact"/>
        <w:ind w:firstLine="480" w:firstLine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全新无氟设计，大屏幕液晶显示，多组数据一屏显示，菜单式操作界面</w:t>
      </w:r>
    </w:p>
    <w:p>
      <w:pPr>
        <w:widowControl/>
        <w:numPr>
          <w:ilvl w:val="0"/>
          <w:numId w:val="5"/>
        </w:numPr>
        <w:shd w:val="clear" w:color="auto" w:fill="FFFFFF"/>
        <w:spacing w:line="400" w:lineRule="exact"/>
        <w:ind w:firstLine="480" w:firstLine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采用镜面不锈钢内胆，四角半圆弧过渡，搁板支架可以自由装卸，箱体左侧配有直径为25mm测试孔，可根据放置场所需要而任意布线</w:t>
      </w:r>
    </w:p>
    <w:p>
      <w:pPr>
        <w:widowControl/>
        <w:numPr>
          <w:ilvl w:val="0"/>
          <w:numId w:val="5"/>
        </w:numPr>
        <w:shd w:val="clear" w:color="auto" w:fill="FFFFFF"/>
        <w:spacing w:line="400" w:lineRule="exact"/>
        <w:ind w:firstLine="480" w:firstLine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箱体保温层采用整体发泡工艺，循环风扇三档可调，多段温度、循环风速、时间和升温速率等参数能同时设置与编程，可以进行温度上升的梯度控制，从箱内初始温度缓慢升温等功能，也可预设自动开机、待机与关机等功能，可预设7组63步可编程序，每组9步，每组设置时间0～5999分</w:t>
      </w:r>
    </w:p>
    <w:p>
      <w:pPr>
        <w:widowControl/>
        <w:numPr>
          <w:ilvl w:val="0"/>
          <w:numId w:val="5"/>
        </w:numPr>
        <w:shd w:val="clear" w:color="auto" w:fill="FFFFFF"/>
        <w:spacing w:line="400" w:lineRule="exact"/>
        <w:ind w:firstLine="480" w:firstLine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独立限温报警系统，超过限制温度即自动中断运行，并声光报警提示操作者,温度偏高和超温将自动报警</w:t>
      </w:r>
    </w:p>
    <w:p>
      <w:pPr>
        <w:widowControl/>
        <w:numPr>
          <w:ilvl w:val="0"/>
          <w:numId w:val="5"/>
        </w:numPr>
        <w:shd w:val="clear" w:color="auto" w:fill="FFFFFF"/>
        <w:spacing w:line="400" w:lineRule="exact"/>
        <w:ind w:firstLine="480" w:firstLine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温度控制范围：-5～70℃，温度分辨率：≤0.1℃，温度波动度：高温±0.3℃，低温±0.5℃，温度均匀度：±1.5℃（测试点为25℃）</w:t>
      </w:r>
    </w:p>
    <w:p>
      <w:pPr>
        <w:widowControl/>
        <w:numPr>
          <w:ilvl w:val="0"/>
          <w:numId w:val="5"/>
        </w:numPr>
        <w:shd w:val="clear" w:color="auto" w:fill="FFFFFF"/>
        <w:spacing w:line="400" w:lineRule="exact"/>
        <w:ind w:firstLine="480" w:firstLine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电源电压：AC220 50HZ，工作环境温度：+5～35℃，输入功率：≥850W</w:t>
      </w:r>
    </w:p>
    <w:p>
      <w:pPr>
        <w:widowControl/>
        <w:numPr>
          <w:ilvl w:val="0"/>
          <w:numId w:val="5"/>
        </w:numPr>
        <w:shd w:val="clear" w:color="auto" w:fill="FFFFFF"/>
        <w:spacing w:line="400" w:lineRule="exact"/>
        <w:ind w:firstLine="480" w:firstLine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内胆尺寸(mm)W×D×H：≥500×460×800，载物托架(标配)：≥3块</w:t>
      </w:r>
    </w:p>
    <w:p>
      <w:pPr>
        <w:widowControl/>
        <w:numPr>
          <w:ilvl w:val="0"/>
          <w:numId w:val="1"/>
        </w:numPr>
        <w:shd w:val="clear" w:color="auto" w:fill="FFFFFF"/>
        <w:spacing w:line="400" w:lineRule="exact"/>
        <w:ind w:firstLine="480" w:firstLine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电热鼓风干燥箱技术要求</w:t>
      </w:r>
    </w:p>
    <w:p>
      <w:pPr>
        <w:widowControl/>
        <w:numPr>
          <w:ilvl w:val="0"/>
          <w:numId w:val="6"/>
        </w:numPr>
        <w:shd w:val="clear" w:color="auto" w:fill="FFFFFF"/>
        <w:spacing w:line="400" w:lineRule="exact"/>
        <w:ind w:left="420" w:left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设备用途：可用做对样品进行烘干、加热、恒温和热处理等功能。</w:t>
      </w:r>
    </w:p>
    <w:p>
      <w:pPr>
        <w:widowControl/>
        <w:numPr>
          <w:ilvl w:val="0"/>
          <w:numId w:val="6"/>
        </w:numPr>
        <w:shd w:val="clear" w:color="auto" w:fill="FFFFFF"/>
        <w:spacing w:line="400" w:lineRule="exact"/>
        <w:ind w:left="420" w:left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配置要求：含载物托架等</w:t>
      </w:r>
    </w:p>
    <w:p>
      <w:pPr>
        <w:widowControl/>
        <w:numPr>
          <w:ilvl w:val="0"/>
          <w:numId w:val="6"/>
        </w:numPr>
        <w:shd w:val="clear" w:color="auto" w:fill="FFFFFF"/>
        <w:spacing w:line="400" w:lineRule="exact"/>
        <w:ind w:left="420" w:left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技术参数</w:t>
      </w:r>
    </w:p>
    <w:p>
      <w:pPr>
        <w:widowControl/>
        <w:numPr>
          <w:ilvl w:val="0"/>
          <w:numId w:val="7"/>
        </w:numPr>
        <w:shd w:val="clear" w:color="auto" w:fill="FFFFFF"/>
        <w:spacing w:line="400" w:lineRule="exact"/>
        <w:ind w:firstLine="480" w:firstLine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采用具有超温偏差保护、数字显示的微电脑PID温度控制器，带有定时功能，定时范围：0~9999min</w:t>
      </w:r>
    </w:p>
    <w:p>
      <w:pPr>
        <w:widowControl/>
        <w:numPr>
          <w:ilvl w:val="0"/>
          <w:numId w:val="7"/>
        </w:numPr>
        <w:shd w:val="clear" w:color="auto" w:fill="FFFFFF"/>
        <w:spacing w:line="400" w:lineRule="exact"/>
        <w:ind w:firstLine="480" w:firstLineChars="200"/>
        <w:rPr>
          <w:rFonts w:ascii="微软雅黑" w:hAnsi="微软雅黑" w:eastAsia="微软雅黑" w:cs="宋体"/>
          <w:color w:val="333333"/>
          <w:kern w:val="0"/>
          <w:sz w:val="24"/>
          <w:szCs w:val="23"/>
        </w:rPr>
      </w:pPr>
      <w:r>
        <w:rPr>
          <w:rFonts w:ascii="微软雅黑" w:hAnsi="微软雅黑" w:eastAsia="微软雅黑" w:cs="宋体"/>
          <w:color w:val="333333"/>
          <w:kern w:val="0"/>
          <w:sz w:val="24"/>
          <w:szCs w:val="23"/>
        </w:rPr>
        <w:t>可以从控温面板上调节箱内进风和排气量大小</w:t>
      </w:r>
    </w:p>
    <w:p>
      <w:pPr>
        <w:widowControl/>
        <w:numPr>
          <w:ilvl w:val="0"/>
          <w:numId w:val="7"/>
        </w:numPr>
        <w:shd w:val="clear" w:color="auto" w:fill="FFFFFF"/>
        <w:spacing w:line="400" w:lineRule="exact"/>
        <w:ind w:firstLine="480" w:firstLineChars="200"/>
        <w:rPr>
          <w:rFonts w:ascii="微软雅黑" w:hAnsi="微软雅黑" w:eastAsia="微软雅黑" w:cs="宋体"/>
          <w:color w:val="333333"/>
          <w:kern w:val="0"/>
          <w:sz w:val="24"/>
          <w:szCs w:val="23"/>
        </w:rPr>
      </w:pPr>
      <w:r>
        <w:rPr>
          <w:rFonts w:ascii="微软雅黑" w:hAnsi="微软雅黑" w:eastAsia="微软雅黑" w:cs="宋体"/>
          <w:color w:val="333333"/>
          <w:kern w:val="0"/>
          <w:sz w:val="24"/>
          <w:szCs w:val="23"/>
        </w:rPr>
        <w:t>热风循环系统由能在高温下连续运转的风机和合适风道组成</w:t>
      </w:r>
    </w:p>
    <w:p>
      <w:pPr>
        <w:widowControl/>
        <w:numPr>
          <w:ilvl w:val="0"/>
          <w:numId w:val="7"/>
        </w:numPr>
        <w:shd w:val="clear" w:color="auto" w:fill="FFFFFF"/>
        <w:spacing w:line="400" w:lineRule="exact"/>
        <w:ind w:firstLine="480" w:firstLineChars="200"/>
        <w:rPr>
          <w:rFonts w:ascii="微软雅黑" w:hAnsi="微软雅黑" w:eastAsia="微软雅黑" w:cs="宋体"/>
          <w:color w:val="333333"/>
          <w:kern w:val="0"/>
          <w:sz w:val="24"/>
          <w:szCs w:val="23"/>
        </w:rPr>
      </w:pPr>
      <w:r>
        <w:rPr>
          <w:rFonts w:ascii="微软雅黑" w:hAnsi="微软雅黑" w:eastAsia="微软雅黑" w:cs="宋体"/>
          <w:color w:val="333333"/>
          <w:kern w:val="0"/>
          <w:sz w:val="24"/>
          <w:szCs w:val="23"/>
        </w:rPr>
        <w:t>控温范围</w:t>
      </w:r>
      <w:r>
        <w:rPr>
          <w:rFonts w:hint="eastAsia" w:ascii="微软雅黑" w:hAnsi="微软雅黑" w:eastAsia="微软雅黑" w:cs="宋体"/>
          <w:color w:val="333333"/>
          <w:kern w:val="0"/>
          <w:sz w:val="24"/>
          <w:szCs w:val="23"/>
        </w:rPr>
        <w:t>：RT+10～200℃，恒温波动度：±1.0℃，温度分辨率：0.1℃，温度均匀度：±3%（测试点为100℃）</w:t>
      </w:r>
    </w:p>
    <w:p>
      <w:pPr>
        <w:widowControl/>
        <w:numPr>
          <w:ilvl w:val="0"/>
          <w:numId w:val="7"/>
        </w:numPr>
        <w:shd w:val="clear" w:color="auto" w:fill="FFFFFF"/>
        <w:spacing w:line="400" w:lineRule="exact"/>
        <w:ind w:firstLine="480" w:firstLineChars="200"/>
        <w:rPr>
          <w:rFonts w:ascii="微软雅黑" w:hAnsi="微软雅黑" w:eastAsia="微软雅黑" w:cs="宋体"/>
          <w:color w:val="333333"/>
          <w:kern w:val="0"/>
          <w:sz w:val="24"/>
          <w:szCs w:val="23"/>
        </w:rPr>
      </w:pPr>
      <w:r>
        <w:rPr>
          <w:rFonts w:ascii="微软雅黑" w:hAnsi="微软雅黑" w:eastAsia="微软雅黑" w:cs="宋体"/>
          <w:color w:val="333333"/>
          <w:kern w:val="0"/>
          <w:sz w:val="24"/>
          <w:szCs w:val="23"/>
        </w:rPr>
        <w:t>输入功率</w:t>
      </w:r>
      <w:r>
        <w:rPr>
          <w:rFonts w:hint="eastAsia" w:ascii="微软雅黑" w:hAnsi="微软雅黑" w:eastAsia="微软雅黑" w:cs="宋体"/>
          <w:color w:val="333333"/>
          <w:kern w:val="0"/>
          <w:sz w:val="24"/>
          <w:szCs w:val="23"/>
        </w:rPr>
        <w:t>：≥2450W，电源电压：AC220V 50HZ，工作环境温度：+5～40℃</w:t>
      </w:r>
    </w:p>
    <w:p>
      <w:pPr>
        <w:widowControl/>
        <w:numPr>
          <w:ilvl w:val="0"/>
          <w:numId w:val="7"/>
        </w:numPr>
        <w:shd w:val="clear" w:color="auto" w:fill="FFFFFF"/>
        <w:spacing w:line="400" w:lineRule="exact"/>
        <w:ind w:firstLine="480" w:firstLineChars="200"/>
        <w:rPr>
          <w:rFonts w:ascii="微软雅黑" w:hAnsi="微软雅黑" w:eastAsia="微软雅黑" w:cs="宋体"/>
          <w:color w:val="333333"/>
          <w:kern w:val="0"/>
          <w:sz w:val="24"/>
          <w:szCs w:val="23"/>
        </w:rPr>
      </w:pPr>
      <w:r>
        <w:rPr>
          <w:rFonts w:ascii="微软雅黑" w:hAnsi="微软雅黑" w:eastAsia="微软雅黑" w:cs="宋体"/>
          <w:color w:val="333333"/>
          <w:kern w:val="0"/>
          <w:sz w:val="24"/>
          <w:szCs w:val="23"/>
        </w:rPr>
        <w:t>容积</w:t>
      </w:r>
      <w:r>
        <w:rPr>
          <w:rFonts w:hint="eastAsia" w:ascii="微软雅黑" w:hAnsi="微软雅黑" w:eastAsia="微软雅黑" w:cs="宋体"/>
          <w:color w:val="333333"/>
          <w:kern w:val="0"/>
          <w:sz w:val="24"/>
          <w:szCs w:val="23"/>
        </w:rPr>
        <w:t>：≥220L，内胆尺寸（mm）W×D×H：≥600×500×750，载物托架（标配）：≥2块</w:t>
      </w:r>
    </w:p>
    <w:p>
      <w:pPr>
        <w:widowControl/>
        <w:shd w:val="clear" w:color="auto" w:fill="FFFFFF"/>
        <w:spacing w:line="400" w:lineRule="exact"/>
        <w:ind w:left="420" w:left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四、冰箱（样品储存柜）技术要求</w:t>
      </w:r>
    </w:p>
    <w:p>
      <w:pPr>
        <w:widowControl/>
        <w:shd w:val="clear" w:color="auto" w:fill="FFFFFF"/>
        <w:spacing w:line="400" w:lineRule="exact"/>
        <w:ind w:left="420" w:left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1．设备用途：用于保存样品。</w:t>
      </w:r>
    </w:p>
    <w:p>
      <w:pPr>
        <w:widowControl/>
        <w:shd w:val="clear" w:color="auto" w:fill="FFFFFF"/>
        <w:spacing w:line="400" w:lineRule="exact"/>
        <w:ind w:left="420" w:left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2．配置要求：含网架等</w:t>
      </w:r>
    </w:p>
    <w:p>
      <w:pPr>
        <w:widowControl/>
        <w:shd w:val="clear" w:color="auto" w:fill="FFFFFF"/>
        <w:spacing w:line="400" w:lineRule="exact"/>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3．技术参数：</w:t>
      </w:r>
    </w:p>
    <w:p>
      <w:pPr>
        <w:widowControl/>
        <w:shd w:val="clear" w:color="auto" w:fill="FFFFFF"/>
        <w:spacing w:line="400" w:lineRule="exact"/>
        <w:ind w:firstLine="480" w:firstLine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(1) 样式：立式，容积：＞1000L，箱内温度：2℃～8℃，制冷方式：风冷</w:t>
      </w:r>
    </w:p>
    <w:p>
      <w:pPr>
        <w:widowControl/>
        <w:shd w:val="clear" w:color="auto" w:fill="FFFFFF"/>
        <w:spacing w:line="400" w:lineRule="exact"/>
        <w:ind w:firstLine="480" w:firstLine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(2)额定功率：≤545W，电源：220V/50Hz，噪音值：≤53dB，工作条件：环境温度10～32℃</w:t>
      </w:r>
    </w:p>
    <w:p>
      <w:pPr>
        <w:widowControl/>
        <w:shd w:val="clear" w:color="auto" w:fill="FFFFFF"/>
        <w:spacing w:line="400" w:lineRule="exact"/>
        <w:ind w:firstLine="480" w:firstLine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(3) 外部尺寸（宽*深*高）：≤1229*882*1895（mm），内部尺寸（宽*深*高）：≥1129*690*1370 （mm）</w:t>
      </w:r>
    </w:p>
    <w:p>
      <w:pPr>
        <w:widowControl/>
        <w:shd w:val="clear" w:color="auto" w:fill="FFFFFF"/>
        <w:spacing w:line="400" w:lineRule="exact"/>
        <w:ind w:firstLine="480" w:firstLine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(4) 外部材料：PCM板，内部材料：304不锈钢</w:t>
      </w:r>
    </w:p>
    <w:p>
      <w:pPr>
        <w:widowControl/>
        <w:shd w:val="clear" w:color="auto" w:fill="FFFFFF"/>
        <w:spacing w:line="400" w:lineRule="exact"/>
        <w:ind w:firstLine="480" w:firstLine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(5) 门体数量：2扇，门体结构：双层中空钢化玻璃门，中间充惰性气体；带电加热膜，防止表面凝露，网架：5层，数量10个，可调高度，浸塑材质，带标识条</w:t>
      </w:r>
    </w:p>
    <w:p>
      <w:pPr>
        <w:widowControl/>
        <w:shd w:val="clear" w:color="auto" w:fill="FFFFFF"/>
        <w:spacing w:line="400" w:lineRule="exact"/>
        <w:ind w:firstLine="480" w:firstLine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(6) 脚轮：4个脚轮，其中2个万向轮带锁止设计，用户可根据需要移动箱体，带2个调平脚，可固定箱体</w:t>
      </w:r>
    </w:p>
    <w:p>
      <w:pPr>
        <w:widowControl/>
        <w:shd w:val="clear" w:color="auto" w:fill="FFFFFF"/>
        <w:spacing w:line="400" w:lineRule="exact"/>
        <w:ind w:firstLine="480" w:firstLine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(7)测试孔：1个，方便安装温湿度记录仪，冷凝器：机舱内置丝管冷凝器，蒸发器：翅片式蒸发器，制冷剂：采用绿色环保制冷剂，感温盒：温度传感器置于模拟液中，真实反映物品实际存储温度</w:t>
      </w:r>
    </w:p>
    <w:p>
      <w:pPr>
        <w:widowControl/>
        <w:shd w:val="clear" w:color="auto" w:fill="FFFFFF"/>
        <w:spacing w:line="400" w:lineRule="exact"/>
        <w:ind w:firstLine="480" w:firstLine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(8)风道设计：循环风冷背吹技术，避免因储存物品的阻挡导致通风不畅或温度不均匀，制冷系统：高效的制冷系统设计，通过强制风冷循环系统实现更均匀的温度布局，同时保证更小的温度波动，从而实现样本储存温度的稳定；翅片式蒸发器配合独特的循环风冷背吹技术设计，保证箱内无霜</w:t>
      </w:r>
    </w:p>
    <w:p>
      <w:pPr>
        <w:widowControl/>
        <w:shd w:val="clear" w:color="auto" w:fill="FFFFFF"/>
        <w:spacing w:line="400" w:lineRule="exact"/>
        <w:ind w:firstLine="480" w:firstLine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(9)温度控制：微电脑控制系统，LED数码显示温度数据，可确保精确稳定的运行；精准的电子温度控制及显示，精度达到0.1℃，显示方式：LED数码显示屏，可显示箱内温度及各种报警信息</w:t>
      </w:r>
    </w:p>
    <w:p>
      <w:pPr>
        <w:widowControl/>
        <w:shd w:val="clear" w:color="auto" w:fill="FFFFFF"/>
        <w:spacing w:line="400" w:lineRule="exact"/>
        <w:ind w:firstLine="480" w:firstLine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(10) 报警系统：高低温报警、传感器故障报警、断电报警、开关门异常报警，报警方式：具备声音蜂鸣和灯光闪烁的报警方式</w:t>
      </w:r>
    </w:p>
    <w:p>
      <w:pPr>
        <w:widowControl/>
        <w:shd w:val="clear" w:color="auto" w:fill="FFFFFF"/>
        <w:spacing w:line="400" w:lineRule="exact"/>
        <w:ind w:firstLine="480" w:firstLine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(11) 电器安全：备用电池确保断电后报警48小时，温控器探头故障安全运行模式，键盘锁定、密码保护功能，防止随意调整运行参数，断电保护：在恢复供电时，所有设备的同时启动会对电网造成较大冲击，从而可能导致断路器跳闸；针对这种情况特别设计的设备延时启动功能可使设备在恢复期间延时数分钟启动，使设备平稳的重新运行；宽电压带适用，可在187V～242V范围内正常使用</w:t>
      </w:r>
    </w:p>
    <w:p>
      <w:pPr>
        <w:widowControl/>
        <w:shd w:val="clear" w:color="auto" w:fill="FFFFFF"/>
        <w:spacing w:line="400" w:lineRule="exact"/>
        <w:ind w:firstLine="480" w:firstLine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(12)配置2个暗锁设计，防止开关门异常；内设LED冷光源照明灯，自动回弹门体，解决用户忘记关门的后顾之忧，配备USB存储模块，相关数据可导出</w:t>
      </w:r>
    </w:p>
    <w:p>
      <w:pPr>
        <w:widowControl/>
        <w:shd w:val="clear" w:color="auto" w:fill="FFFFFF"/>
        <w:spacing w:line="400" w:lineRule="exact"/>
        <w:ind w:left="420" w:left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五、可调温电热板技术要求</w:t>
      </w:r>
    </w:p>
    <w:p>
      <w:pPr>
        <w:widowControl/>
        <w:shd w:val="clear" w:color="auto" w:fill="FFFFFF"/>
        <w:spacing w:line="400" w:lineRule="exact"/>
        <w:ind w:left="420" w:left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1．设备用途：用于样品加热、恒温、消解等处理。</w:t>
      </w:r>
    </w:p>
    <w:p>
      <w:pPr>
        <w:widowControl/>
        <w:shd w:val="clear" w:color="auto" w:fill="FFFFFF"/>
        <w:spacing w:line="400" w:lineRule="exact"/>
        <w:ind w:left="420" w:left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2．配置要求：含电源等</w:t>
      </w:r>
    </w:p>
    <w:p>
      <w:pPr>
        <w:widowControl/>
        <w:shd w:val="clear" w:color="auto" w:fill="FFFFFF"/>
        <w:spacing w:line="400" w:lineRule="exact"/>
        <w:ind w:left="420" w:left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3．技术参数：</w:t>
      </w:r>
    </w:p>
    <w:p>
      <w:pPr>
        <w:widowControl/>
        <w:shd w:val="clear" w:color="auto" w:fill="FFFFFF"/>
        <w:spacing w:line="400" w:lineRule="exact"/>
        <w:ind w:left="420" w:left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(1) 传热材质：铝合金传热，电加热管浇铸在铝合金内</w:t>
      </w:r>
    </w:p>
    <w:p>
      <w:pPr>
        <w:widowControl/>
        <w:shd w:val="clear" w:color="auto" w:fill="FFFFFF"/>
        <w:spacing w:line="400" w:lineRule="exact"/>
        <w:ind w:left="420" w:left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(2) 加热板面材质：不锈钢</w:t>
      </w:r>
    </w:p>
    <w:p>
      <w:pPr>
        <w:widowControl/>
        <w:shd w:val="clear" w:color="auto" w:fill="FFFFFF"/>
        <w:spacing w:line="400" w:lineRule="exact"/>
        <w:ind w:left="420" w:left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(3) 控温范围：室温-350℃，加热功率：≥2000W，控温精度：±5℃</w:t>
      </w:r>
    </w:p>
    <w:p>
      <w:pPr>
        <w:widowControl/>
        <w:shd w:val="clear" w:color="auto" w:fill="FFFFFF"/>
        <w:spacing w:line="400" w:lineRule="exact"/>
        <w:ind w:left="420" w:left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(4) 加热板面尺寸：≥400×300mm</w:t>
      </w:r>
    </w:p>
    <w:p>
      <w:pPr>
        <w:widowControl/>
        <w:shd w:val="clear" w:color="auto" w:fill="FFFFFF"/>
        <w:spacing w:line="400" w:lineRule="exact"/>
        <w:ind w:left="420" w:leftChars="200"/>
        <w:rPr>
          <w:rFonts w:ascii="微软雅黑" w:hAnsi="微软雅黑" w:eastAsia="微软雅黑" w:cs="宋体"/>
          <w:color w:val="333333"/>
          <w:kern w:val="0"/>
          <w:sz w:val="24"/>
          <w:szCs w:val="23"/>
        </w:rPr>
      </w:pPr>
      <w:r>
        <w:rPr>
          <w:rFonts w:hint="eastAsia" w:ascii="微软雅黑" w:hAnsi="微软雅黑" w:eastAsia="微软雅黑" w:cs="宋体"/>
          <w:color w:val="333333"/>
          <w:kern w:val="0"/>
          <w:sz w:val="24"/>
          <w:szCs w:val="23"/>
        </w:rPr>
        <w:t>(5)本机控制，LED数字显示控温，加热部分与电子控制部分分隔设计，有效避免高温对电子元件的损害过热保护功能；超温报警功能</w:t>
      </w:r>
    </w:p>
    <w:p>
      <w:pPr>
        <w:widowControl/>
        <w:shd w:val="clear" w:color="auto" w:fill="FFFFFF"/>
        <w:spacing w:line="400" w:lineRule="exact"/>
        <w:ind w:left="420" w:leftChars="200"/>
        <w:rPr>
          <w:sz w:val="22"/>
        </w:rPr>
      </w:pPr>
      <w:r>
        <w:rPr>
          <w:rFonts w:hint="eastAsia" w:ascii="微软雅黑" w:hAnsi="微软雅黑" w:eastAsia="微软雅黑" w:cs="宋体"/>
          <w:color w:val="333333"/>
          <w:kern w:val="0"/>
          <w:sz w:val="24"/>
          <w:szCs w:val="23"/>
        </w:rPr>
        <w:t>(6)整机通过防腐处理</w:t>
      </w:r>
    </w:p>
    <w:p>
      <w:pPr>
        <w:widowControl/>
        <w:spacing w:line="500" w:lineRule="exact"/>
        <w:jc w:val="left"/>
        <w:rPr>
          <w:rFonts w:hint="eastAsia" w:ascii="仿宋_GB2312" w:hAnsi="方正小标宋简体" w:eastAsia="仿宋_GB2312" w:cs="仿宋_GB2312"/>
          <w:kern w:val="0"/>
          <w:sz w:val="32"/>
          <w:szCs w:val="32"/>
          <w:shd w:val="clear" w:color="auto" w:fill="FFFFFF"/>
        </w:rPr>
      </w:pPr>
    </w:p>
    <w:p>
      <w:pPr>
        <w:widowControl/>
        <w:spacing w:line="500" w:lineRule="exact"/>
        <w:jc w:val="left"/>
        <w:rPr>
          <w:rFonts w:hint="eastAsia" w:ascii="仿宋_GB2312" w:hAnsi="方正小标宋简体" w:eastAsia="仿宋_GB2312" w:cs="仿宋_GB2312"/>
          <w:kern w:val="0"/>
          <w:sz w:val="32"/>
          <w:szCs w:val="32"/>
          <w:shd w:val="clear" w:color="auto" w:fill="FFFFFF"/>
        </w:rPr>
      </w:pPr>
    </w:p>
    <w:p>
      <w:pPr>
        <w:widowControl/>
        <w:spacing w:line="500" w:lineRule="exact"/>
        <w:jc w:val="left"/>
        <w:rPr>
          <w:rFonts w:ascii="仿宋_GB2312" w:hAnsi="方正小标宋简体" w:eastAsia="仿宋_GB2312" w:cs="仿宋_GB2312"/>
          <w:kern w:val="0"/>
          <w:sz w:val="32"/>
          <w:szCs w:val="32"/>
          <w:shd w:val="clear" w:color="auto" w:fill="FFFFFF"/>
        </w:rPr>
      </w:pPr>
      <w:r>
        <w:rPr>
          <w:rFonts w:hint="eastAsia" w:ascii="仿宋_GB2312" w:hAnsi="方正小标宋简体" w:eastAsia="仿宋_GB2312" w:cs="仿宋_GB2312"/>
          <w:kern w:val="0"/>
          <w:sz w:val="32"/>
          <w:szCs w:val="32"/>
          <w:shd w:val="clear" w:color="auto" w:fill="FFFFFF"/>
        </w:rPr>
        <w:t>附件2：</w:t>
      </w:r>
    </w:p>
    <w:p>
      <w:pPr>
        <w:spacing w:line="500" w:lineRule="exact"/>
        <w:jc w:val="center"/>
        <w:rPr>
          <w:rFonts w:hint="eastAsia" w:ascii="仿宋_GB2312" w:eastAsia="仿宋_GB2312"/>
          <w:b/>
          <w:sz w:val="32"/>
          <w:szCs w:val="32"/>
        </w:rPr>
      </w:pPr>
    </w:p>
    <w:p>
      <w:pPr>
        <w:spacing w:line="500" w:lineRule="exact"/>
        <w:jc w:val="center"/>
        <w:rPr>
          <w:rFonts w:ascii="仿宋_GB2312" w:eastAsia="仿宋_GB2312"/>
          <w:b/>
          <w:sz w:val="32"/>
          <w:szCs w:val="32"/>
        </w:rPr>
      </w:pPr>
      <w:r>
        <w:rPr>
          <w:rFonts w:hint="eastAsia" w:ascii="仿宋_GB2312" w:eastAsia="仿宋_GB2312"/>
          <w:b/>
          <w:sz w:val="32"/>
          <w:szCs w:val="32"/>
        </w:rPr>
        <w:t>监测站实验室监测辅助设备采购项目报价单</w:t>
      </w:r>
    </w:p>
    <w:tbl>
      <w:tblPr>
        <w:tblStyle w:val="7"/>
        <w:tblW w:w="8270" w:type="dxa"/>
        <w:jc w:val="center"/>
        <w:tblInd w:w="-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2359"/>
        <w:gridCol w:w="1743"/>
        <w:gridCol w:w="167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789" w:type="dxa"/>
            <w:vAlign w:val="center"/>
          </w:tcPr>
          <w:p>
            <w:pPr>
              <w:widowControl/>
              <w:jc w:val="center"/>
              <w:textAlignment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序号</w:t>
            </w:r>
          </w:p>
        </w:tc>
        <w:tc>
          <w:tcPr>
            <w:tcW w:w="2359" w:type="dxa"/>
            <w:vAlign w:val="center"/>
          </w:tcPr>
          <w:p>
            <w:pPr>
              <w:widowControl/>
              <w:jc w:val="center"/>
              <w:textAlignment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设备名称</w:t>
            </w:r>
          </w:p>
        </w:tc>
        <w:tc>
          <w:tcPr>
            <w:tcW w:w="1743" w:type="dxa"/>
            <w:vAlign w:val="center"/>
          </w:tcPr>
          <w:p>
            <w:pPr>
              <w:widowControl/>
              <w:jc w:val="center"/>
              <w:textAlignment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数量</w:t>
            </w:r>
          </w:p>
        </w:tc>
        <w:tc>
          <w:tcPr>
            <w:tcW w:w="1678" w:type="dxa"/>
            <w:vAlign w:val="center"/>
          </w:tcPr>
          <w:p>
            <w:pPr>
              <w:widowControl/>
              <w:jc w:val="center"/>
              <w:textAlignment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单价（万元）</w:t>
            </w:r>
          </w:p>
        </w:tc>
        <w:tc>
          <w:tcPr>
            <w:tcW w:w="1701" w:type="dxa"/>
            <w:vAlign w:val="center"/>
          </w:tcPr>
          <w:p>
            <w:pPr>
              <w:widowControl/>
              <w:jc w:val="center"/>
              <w:textAlignment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小计（万元）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jc w:val="center"/>
        </w:trPr>
        <w:tc>
          <w:tcPr>
            <w:tcW w:w="789" w:type="dxa"/>
            <w:vAlign w:val="center"/>
          </w:tcPr>
          <w:p>
            <w:pPr>
              <w:widowControl/>
              <w:jc w:val="center"/>
              <w:textAlignment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w:t>
            </w:r>
          </w:p>
        </w:tc>
        <w:tc>
          <w:tcPr>
            <w:tcW w:w="2359" w:type="dxa"/>
            <w:vAlign w:val="center"/>
          </w:tcPr>
          <w:p>
            <w:pPr>
              <w:widowControl/>
              <w:jc w:val="center"/>
              <w:textAlignment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高压灭菌锅</w:t>
            </w:r>
          </w:p>
        </w:tc>
        <w:tc>
          <w:tcPr>
            <w:tcW w:w="1743" w:type="dxa"/>
            <w:vAlign w:val="center"/>
          </w:tcPr>
          <w:p>
            <w:pPr>
              <w:widowControl/>
              <w:jc w:val="center"/>
              <w:textAlignment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1台</w:t>
            </w:r>
          </w:p>
        </w:tc>
        <w:tc>
          <w:tcPr>
            <w:tcW w:w="1678" w:type="dxa"/>
            <w:vAlign w:val="center"/>
          </w:tcPr>
          <w:p>
            <w:pPr>
              <w:widowControl/>
              <w:jc w:val="center"/>
              <w:textAlignment w:val="center"/>
              <w:rPr>
                <w:rFonts w:ascii="仿宋_GB2312" w:hAnsi="宋体" w:eastAsia="仿宋_GB2312" w:cs="宋体"/>
                <w:color w:val="000000"/>
                <w:kern w:val="0"/>
                <w:sz w:val="28"/>
                <w:szCs w:val="28"/>
              </w:rPr>
            </w:pPr>
          </w:p>
        </w:tc>
        <w:tc>
          <w:tcPr>
            <w:tcW w:w="1701" w:type="dxa"/>
            <w:vAlign w:val="center"/>
          </w:tcPr>
          <w:p>
            <w:pPr>
              <w:widowControl/>
              <w:jc w:val="center"/>
              <w:textAlignment w:val="center"/>
              <w:rPr>
                <w:rFonts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jc w:val="center"/>
        </w:trPr>
        <w:tc>
          <w:tcPr>
            <w:tcW w:w="789" w:type="dxa"/>
            <w:vAlign w:val="center"/>
          </w:tcPr>
          <w:p>
            <w:pPr>
              <w:widowControl/>
              <w:jc w:val="center"/>
              <w:textAlignment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w:t>
            </w:r>
          </w:p>
        </w:tc>
        <w:tc>
          <w:tcPr>
            <w:tcW w:w="2359" w:type="dxa"/>
            <w:vAlign w:val="center"/>
          </w:tcPr>
          <w:p>
            <w:pPr>
              <w:widowControl/>
              <w:jc w:val="center"/>
              <w:textAlignment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生化培养箱</w:t>
            </w:r>
          </w:p>
        </w:tc>
        <w:tc>
          <w:tcPr>
            <w:tcW w:w="1743" w:type="dxa"/>
            <w:vAlign w:val="center"/>
          </w:tcPr>
          <w:p>
            <w:pPr>
              <w:widowControl/>
              <w:jc w:val="center"/>
              <w:textAlignment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1台</w:t>
            </w:r>
          </w:p>
        </w:tc>
        <w:tc>
          <w:tcPr>
            <w:tcW w:w="1678" w:type="dxa"/>
            <w:vAlign w:val="center"/>
          </w:tcPr>
          <w:p>
            <w:pPr>
              <w:widowControl/>
              <w:jc w:val="center"/>
              <w:textAlignment w:val="center"/>
              <w:rPr>
                <w:rFonts w:ascii="仿宋_GB2312" w:hAnsi="宋体" w:eastAsia="仿宋_GB2312" w:cs="宋体"/>
                <w:color w:val="000000"/>
                <w:kern w:val="0"/>
                <w:sz w:val="28"/>
                <w:szCs w:val="28"/>
              </w:rPr>
            </w:pPr>
          </w:p>
        </w:tc>
        <w:tc>
          <w:tcPr>
            <w:tcW w:w="1701" w:type="dxa"/>
            <w:vAlign w:val="center"/>
          </w:tcPr>
          <w:p>
            <w:pPr>
              <w:widowControl/>
              <w:jc w:val="center"/>
              <w:textAlignment w:val="center"/>
              <w:rPr>
                <w:rFonts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jc w:val="center"/>
        </w:trPr>
        <w:tc>
          <w:tcPr>
            <w:tcW w:w="789" w:type="dxa"/>
            <w:vAlign w:val="center"/>
          </w:tcPr>
          <w:p>
            <w:pPr>
              <w:widowControl/>
              <w:jc w:val="center"/>
              <w:textAlignment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w:t>
            </w:r>
          </w:p>
        </w:tc>
        <w:tc>
          <w:tcPr>
            <w:tcW w:w="2359" w:type="dxa"/>
            <w:vAlign w:val="center"/>
          </w:tcPr>
          <w:p>
            <w:pPr>
              <w:widowControl/>
              <w:jc w:val="center"/>
              <w:textAlignment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电热鼓风干燥箱</w:t>
            </w:r>
          </w:p>
        </w:tc>
        <w:tc>
          <w:tcPr>
            <w:tcW w:w="1743" w:type="dxa"/>
            <w:vAlign w:val="center"/>
          </w:tcPr>
          <w:p>
            <w:pPr>
              <w:widowControl/>
              <w:jc w:val="center"/>
              <w:textAlignment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1台</w:t>
            </w:r>
          </w:p>
        </w:tc>
        <w:tc>
          <w:tcPr>
            <w:tcW w:w="1678" w:type="dxa"/>
            <w:vAlign w:val="center"/>
          </w:tcPr>
          <w:p>
            <w:pPr>
              <w:widowControl/>
              <w:jc w:val="center"/>
              <w:textAlignment w:val="center"/>
              <w:rPr>
                <w:rFonts w:ascii="仿宋_GB2312" w:hAnsi="宋体" w:eastAsia="仿宋_GB2312" w:cs="宋体"/>
                <w:color w:val="000000"/>
                <w:kern w:val="0"/>
                <w:sz w:val="28"/>
                <w:szCs w:val="28"/>
              </w:rPr>
            </w:pPr>
          </w:p>
        </w:tc>
        <w:tc>
          <w:tcPr>
            <w:tcW w:w="1701" w:type="dxa"/>
            <w:vAlign w:val="center"/>
          </w:tcPr>
          <w:p>
            <w:pPr>
              <w:widowControl/>
              <w:jc w:val="center"/>
              <w:textAlignment w:val="center"/>
              <w:rPr>
                <w:rFonts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jc w:val="center"/>
        </w:trPr>
        <w:tc>
          <w:tcPr>
            <w:tcW w:w="789" w:type="dxa"/>
            <w:vAlign w:val="center"/>
          </w:tcPr>
          <w:p>
            <w:pPr>
              <w:widowControl/>
              <w:jc w:val="center"/>
              <w:textAlignment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w:t>
            </w:r>
          </w:p>
        </w:tc>
        <w:tc>
          <w:tcPr>
            <w:tcW w:w="2359" w:type="dxa"/>
            <w:vAlign w:val="center"/>
          </w:tcPr>
          <w:p>
            <w:pPr>
              <w:widowControl/>
              <w:jc w:val="center"/>
              <w:textAlignment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冰箱</w:t>
            </w:r>
          </w:p>
          <w:p>
            <w:pPr>
              <w:widowControl/>
              <w:jc w:val="center"/>
              <w:textAlignment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（样品储存柜）</w:t>
            </w:r>
          </w:p>
        </w:tc>
        <w:tc>
          <w:tcPr>
            <w:tcW w:w="1743" w:type="dxa"/>
            <w:vAlign w:val="center"/>
          </w:tcPr>
          <w:p>
            <w:pPr>
              <w:widowControl/>
              <w:jc w:val="center"/>
              <w:textAlignment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2台</w:t>
            </w:r>
          </w:p>
        </w:tc>
        <w:tc>
          <w:tcPr>
            <w:tcW w:w="1678" w:type="dxa"/>
            <w:vAlign w:val="center"/>
          </w:tcPr>
          <w:p>
            <w:pPr>
              <w:widowControl/>
              <w:jc w:val="center"/>
              <w:textAlignment w:val="center"/>
              <w:rPr>
                <w:rFonts w:ascii="仿宋_GB2312" w:hAnsi="宋体" w:eastAsia="仿宋_GB2312" w:cs="宋体"/>
                <w:color w:val="000000"/>
                <w:kern w:val="0"/>
                <w:sz w:val="28"/>
                <w:szCs w:val="28"/>
              </w:rPr>
            </w:pPr>
          </w:p>
        </w:tc>
        <w:tc>
          <w:tcPr>
            <w:tcW w:w="1701" w:type="dxa"/>
            <w:vAlign w:val="center"/>
          </w:tcPr>
          <w:p>
            <w:pPr>
              <w:widowControl/>
              <w:jc w:val="center"/>
              <w:textAlignment w:val="center"/>
              <w:rPr>
                <w:rFonts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jc w:val="center"/>
        </w:trPr>
        <w:tc>
          <w:tcPr>
            <w:tcW w:w="789" w:type="dxa"/>
            <w:vAlign w:val="center"/>
          </w:tcPr>
          <w:p>
            <w:pPr>
              <w:widowControl/>
              <w:jc w:val="center"/>
              <w:textAlignment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w:t>
            </w:r>
          </w:p>
        </w:tc>
        <w:tc>
          <w:tcPr>
            <w:tcW w:w="2359" w:type="dxa"/>
            <w:vAlign w:val="center"/>
          </w:tcPr>
          <w:p>
            <w:pPr>
              <w:widowControl/>
              <w:jc w:val="center"/>
              <w:textAlignment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可调温电热板</w:t>
            </w:r>
          </w:p>
        </w:tc>
        <w:tc>
          <w:tcPr>
            <w:tcW w:w="1743" w:type="dxa"/>
            <w:vAlign w:val="center"/>
          </w:tcPr>
          <w:p>
            <w:pPr>
              <w:widowControl/>
              <w:jc w:val="center"/>
              <w:textAlignment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2台</w:t>
            </w:r>
          </w:p>
        </w:tc>
        <w:tc>
          <w:tcPr>
            <w:tcW w:w="1678" w:type="dxa"/>
            <w:vAlign w:val="center"/>
          </w:tcPr>
          <w:p>
            <w:pPr>
              <w:widowControl/>
              <w:jc w:val="center"/>
              <w:textAlignment w:val="center"/>
              <w:rPr>
                <w:rFonts w:ascii="仿宋_GB2312" w:hAnsi="宋体" w:eastAsia="仿宋_GB2312" w:cs="宋体"/>
                <w:color w:val="000000"/>
                <w:kern w:val="0"/>
                <w:sz w:val="28"/>
                <w:szCs w:val="28"/>
              </w:rPr>
            </w:pPr>
          </w:p>
        </w:tc>
        <w:tc>
          <w:tcPr>
            <w:tcW w:w="1701" w:type="dxa"/>
            <w:vAlign w:val="center"/>
          </w:tcPr>
          <w:p>
            <w:pPr>
              <w:widowControl/>
              <w:jc w:val="center"/>
              <w:textAlignment w:val="center"/>
              <w:rPr>
                <w:rFonts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jc w:val="center"/>
        </w:trPr>
        <w:tc>
          <w:tcPr>
            <w:tcW w:w="3148" w:type="dxa"/>
            <w:gridSpan w:val="2"/>
            <w:vAlign w:val="center"/>
          </w:tcPr>
          <w:p>
            <w:pPr>
              <w:widowControl/>
              <w:jc w:val="center"/>
              <w:textAlignment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合计（万元）</w:t>
            </w:r>
          </w:p>
        </w:tc>
        <w:tc>
          <w:tcPr>
            <w:tcW w:w="5122" w:type="dxa"/>
            <w:gridSpan w:val="3"/>
            <w:vAlign w:val="center"/>
          </w:tcPr>
          <w:p>
            <w:pPr>
              <w:widowControl/>
              <w:jc w:val="center"/>
              <w:textAlignment w:val="center"/>
              <w:rPr>
                <w:rFonts w:ascii="仿宋_GB2312" w:hAnsi="宋体" w:eastAsia="仿宋_GB2312" w:cs="宋体"/>
                <w:color w:val="000000"/>
                <w:kern w:val="0"/>
                <w:sz w:val="28"/>
                <w:szCs w:val="28"/>
              </w:rPr>
            </w:pPr>
          </w:p>
        </w:tc>
      </w:tr>
    </w:tbl>
    <w:p>
      <w:pPr>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报价单位（盖章）： </w:t>
      </w:r>
    </w:p>
    <w:p>
      <w:pPr>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   </w:t>
      </w:r>
    </w:p>
    <w:p>
      <w:pPr>
        <w:ind w:firstLine="320" w:firstLineChars="100"/>
        <w:jc w:val="left"/>
        <w:rPr>
          <w:rFonts w:ascii="仿宋_GB2312" w:eastAsia="仿宋_GB2312" w:cs="仿宋_GB2312"/>
          <w:sz w:val="32"/>
          <w:szCs w:val="32"/>
        </w:rPr>
      </w:pPr>
      <w:r>
        <w:rPr>
          <w:rFonts w:hint="eastAsia" w:ascii="仿宋_GB2312" w:hAnsi="仿宋_GB2312" w:eastAsia="仿宋_GB2312" w:cs="仿宋_GB2312"/>
          <w:sz w:val="32"/>
          <w:szCs w:val="32"/>
        </w:rPr>
        <w:t>联系电话：</w:t>
      </w:r>
    </w:p>
    <w:p>
      <w:pPr>
        <w:widowControl/>
        <w:spacing w:beforeAutospacing="1" w:afterAutospacing="1"/>
        <w:ind w:firstLine="640"/>
        <w:jc w:val="right"/>
      </w:pPr>
      <w:r>
        <w:rPr>
          <w:rFonts w:ascii="仿宋_GB2312" w:hAnsi="方正小标宋简体" w:eastAsia="仿宋_GB2312" w:cs="仿宋_GB2312"/>
          <w:color w:val="333333"/>
          <w:kern w:val="0"/>
          <w:sz w:val="32"/>
          <w:szCs w:val="32"/>
          <w:shd w:val="clear" w:color="auto"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9B351"/>
    <w:multiLevelType w:val="singleLevel"/>
    <w:tmpl w:val="8299B351"/>
    <w:lvl w:ilvl="0" w:tentative="0">
      <w:start w:val="1"/>
      <w:numFmt w:val="decimal"/>
      <w:lvlText w:val="(%1)"/>
      <w:lvlJc w:val="left"/>
      <w:pPr>
        <w:tabs>
          <w:tab w:val="left" w:pos="312"/>
        </w:tabs>
      </w:pPr>
    </w:lvl>
  </w:abstractNum>
  <w:abstractNum w:abstractNumId="1">
    <w:nsid w:val="B8F6EBE3"/>
    <w:multiLevelType w:val="singleLevel"/>
    <w:tmpl w:val="B8F6EBE3"/>
    <w:lvl w:ilvl="0" w:tentative="0">
      <w:start w:val="1"/>
      <w:numFmt w:val="decimal"/>
      <w:lvlText w:val="(%1)"/>
      <w:lvlJc w:val="left"/>
      <w:pPr>
        <w:tabs>
          <w:tab w:val="left" w:pos="312"/>
        </w:tabs>
      </w:pPr>
    </w:lvl>
  </w:abstractNum>
  <w:abstractNum w:abstractNumId="2">
    <w:nsid w:val="C6E1CD51"/>
    <w:multiLevelType w:val="singleLevel"/>
    <w:tmpl w:val="C6E1CD51"/>
    <w:lvl w:ilvl="0" w:tentative="0">
      <w:start w:val="1"/>
      <w:numFmt w:val="decimal"/>
      <w:suff w:val="nothing"/>
      <w:lvlText w:val="%1．"/>
      <w:lvlJc w:val="left"/>
    </w:lvl>
  </w:abstractNum>
  <w:abstractNum w:abstractNumId="3">
    <w:nsid w:val="D7E5A119"/>
    <w:multiLevelType w:val="singleLevel"/>
    <w:tmpl w:val="D7E5A119"/>
    <w:lvl w:ilvl="0" w:tentative="0">
      <w:start w:val="1"/>
      <w:numFmt w:val="chineseCounting"/>
      <w:suff w:val="nothing"/>
      <w:lvlText w:val="%1、"/>
      <w:lvlJc w:val="left"/>
      <w:rPr>
        <w:rFonts w:hint="eastAsia"/>
      </w:rPr>
    </w:lvl>
  </w:abstractNum>
  <w:abstractNum w:abstractNumId="4">
    <w:nsid w:val="277AFA0C"/>
    <w:multiLevelType w:val="singleLevel"/>
    <w:tmpl w:val="277AFA0C"/>
    <w:lvl w:ilvl="0" w:tentative="0">
      <w:start w:val="1"/>
      <w:numFmt w:val="decimal"/>
      <w:suff w:val="nothing"/>
      <w:lvlText w:val="%1．"/>
      <w:lvlJc w:val="left"/>
    </w:lvl>
  </w:abstractNum>
  <w:abstractNum w:abstractNumId="5">
    <w:nsid w:val="37ADD5C4"/>
    <w:multiLevelType w:val="singleLevel"/>
    <w:tmpl w:val="37ADD5C4"/>
    <w:lvl w:ilvl="0" w:tentative="0">
      <w:start w:val="1"/>
      <w:numFmt w:val="decimal"/>
      <w:lvlText w:val="(%1)"/>
      <w:lvlJc w:val="left"/>
      <w:pPr>
        <w:tabs>
          <w:tab w:val="left" w:pos="312"/>
        </w:tabs>
      </w:pPr>
    </w:lvl>
  </w:abstractNum>
  <w:abstractNum w:abstractNumId="6">
    <w:nsid w:val="45D78B52"/>
    <w:multiLevelType w:val="singleLevel"/>
    <w:tmpl w:val="45D78B52"/>
    <w:lvl w:ilvl="0" w:tentative="0">
      <w:start w:val="1"/>
      <w:numFmt w:val="decimal"/>
      <w:suff w:val="nothing"/>
      <w:lvlText w:val="%1．"/>
      <w:lvlJc w:val="left"/>
      <w:pPr>
        <w:ind w:left="460" w:firstLine="0"/>
      </w:pPr>
    </w:lvl>
  </w:abstractNum>
  <w:num w:numId="1">
    <w:abstractNumId w:val="3"/>
  </w:num>
  <w:num w:numId="2">
    <w:abstractNumId w:val="6"/>
  </w:num>
  <w:num w:numId="3">
    <w:abstractNumId w:val="1"/>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zMjhiNDc3ZDA0MTdjNjE0ZWVhMzc4YWFmYTkxZGYifQ=="/>
  </w:docVars>
  <w:rsids>
    <w:rsidRoot w:val="005D23F4"/>
    <w:rsid w:val="000139B0"/>
    <w:rsid w:val="000B05FD"/>
    <w:rsid w:val="000B38F5"/>
    <w:rsid w:val="000B4117"/>
    <w:rsid w:val="000C1EAC"/>
    <w:rsid w:val="000C7A28"/>
    <w:rsid w:val="000E212A"/>
    <w:rsid w:val="001C0EB6"/>
    <w:rsid w:val="001F3C14"/>
    <w:rsid w:val="00202453"/>
    <w:rsid w:val="002476CC"/>
    <w:rsid w:val="002749E4"/>
    <w:rsid w:val="00283CD1"/>
    <w:rsid w:val="00286628"/>
    <w:rsid w:val="00341C2A"/>
    <w:rsid w:val="00341DB4"/>
    <w:rsid w:val="00372624"/>
    <w:rsid w:val="0041161F"/>
    <w:rsid w:val="00412B66"/>
    <w:rsid w:val="0042291B"/>
    <w:rsid w:val="00427A76"/>
    <w:rsid w:val="00454F27"/>
    <w:rsid w:val="004D3364"/>
    <w:rsid w:val="004D4589"/>
    <w:rsid w:val="005013E6"/>
    <w:rsid w:val="0052496B"/>
    <w:rsid w:val="00552BB2"/>
    <w:rsid w:val="005B7DF2"/>
    <w:rsid w:val="005C291A"/>
    <w:rsid w:val="005D23F4"/>
    <w:rsid w:val="005D24F5"/>
    <w:rsid w:val="005D5DE3"/>
    <w:rsid w:val="0062660E"/>
    <w:rsid w:val="00660EA6"/>
    <w:rsid w:val="006650FE"/>
    <w:rsid w:val="006E49BD"/>
    <w:rsid w:val="00717D4A"/>
    <w:rsid w:val="007475C6"/>
    <w:rsid w:val="00762A9F"/>
    <w:rsid w:val="00775429"/>
    <w:rsid w:val="007A301C"/>
    <w:rsid w:val="007C39B0"/>
    <w:rsid w:val="007F30BA"/>
    <w:rsid w:val="00831C9B"/>
    <w:rsid w:val="00857706"/>
    <w:rsid w:val="008638E1"/>
    <w:rsid w:val="008C6446"/>
    <w:rsid w:val="009238B9"/>
    <w:rsid w:val="00944B8E"/>
    <w:rsid w:val="009665D7"/>
    <w:rsid w:val="009725B9"/>
    <w:rsid w:val="00983A79"/>
    <w:rsid w:val="009A0BFF"/>
    <w:rsid w:val="009A5342"/>
    <w:rsid w:val="009B3700"/>
    <w:rsid w:val="00A01796"/>
    <w:rsid w:val="00AA3597"/>
    <w:rsid w:val="00AB6802"/>
    <w:rsid w:val="00B03AE6"/>
    <w:rsid w:val="00BA197B"/>
    <w:rsid w:val="00BC2121"/>
    <w:rsid w:val="00BD3369"/>
    <w:rsid w:val="00BE489F"/>
    <w:rsid w:val="00BF013D"/>
    <w:rsid w:val="00C37FDB"/>
    <w:rsid w:val="00CE182D"/>
    <w:rsid w:val="00CF6DF9"/>
    <w:rsid w:val="00DB6C0A"/>
    <w:rsid w:val="00DD217B"/>
    <w:rsid w:val="00E27F32"/>
    <w:rsid w:val="00E31810"/>
    <w:rsid w:val="00E34EFD"/>
    <w:rsid w:val="00E35BF3"/>
    <w:rsid w:val="00E57FCB"/>
    <w:rsid w:val="00E76C73"/>
    <w:rsid w:val="00EB2941"/>
    <w:rsid w:val="00EE2661"/>
    <w:rsid w:val="00EE674A"/>
    <w:rsid w:val="00F645AA"/>
    <w:rsid w:val="00F857E1"/>
    <w:rsid w:val="00F969EF"/>
    <w:rsid w:val="00FF5CE3"/>
    <w:rsid w:val="0142430D"/>
    <w:rsid w:val="051D3469"/>
    <w:rsid w:val="0893639E"/>
    <w:rsid w:val="137C19B0"/>
    <w:rsid w:val="1724638B"/>
    <w:rsid w:val="1D8F78C6"/>
    <w:rsid w:val="232E11A5"/>
    <w:rsid w:val="2B5C6960"/>
    <w:rsid w:val="3C2E0626"/>
    <w:rsid w:val="3E76074B"/>
    <w:rsid w:val="400B75FC"/>
    <w:rsid w:val="47941ECB"/>
    <w:rsid w:val="4C2C1484"/>
    <w:rsid w:val="4CC254E6"/>
    <w:rsid w:val="5B5C3DC4"/>
    <w:rsid w:val="623307C1"/>
    <w:rsid w:val="6BDF40F3"/>
    <w:rsid w:val="6F001F7E"/>
    <w:rsid w:val="6FA36659"/>
    <w:rsid w:val="702B7BCC"/>
    <w:rsid w:val="706406DD"/>
    <w:rsid w:val="71C1726B"/>
    <w:rsid w:val="7B773D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62"/>
    <w:uiPriority w:val="0"/>
    <w:pPr>
      <w:ind w:left="100" w:leftChars="2500"/>
    </w:pPr>
  </w:style>
  <w:style w:type="paragraph" w:styleId="4">
    <w:name w:val="footer"/>
    <w:basedOn w:val="1"/>
    <w:link w:val="61"/>
    <w:uiPriority w:val="0"/>
    <w:pPr>
      <w:tabs>
        <w:tab w:val="center" w:pos="4153"/>
        <w:tab w:val="right" w:pos="8306"/>
      </w:tabs>
      <w:snapToGrid w:val="0"/>
      <w:jc w:val="left"/>
    </w:pPr>
    <w:rPr>
      <w:sz w:val="18"/>
      <w:szCs w:val="18"/>
    </w:rPr>
  </w:style>
  <w:style w:type="paragraph" w:styleId="5">
    <w:name w:val="header"/>
    <w:basedOn w:val="1"/>
    <w:link w:val="6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cs="Times New Roman"/>
      <w:kern w:val="0"/>
      <w:sz w:val="24"/>
    </w:rPr>
  </w:style>
  <w:style w:type="character" w:styleId="9">
    <w:name w:val="FollowedHyperlink"/>
    <w:basedOn w:val="8"/>
    <w:qFormat/>
    <w:uiPriority w:val="0"/>
    <w:rPr>
      <w:color w:val="800080"/>
      <w:u w:val="none"/>
    </w:rPr>
  </w:style>
  <w:style w:type="character" w:styleId="10">
    <w:name w:val="Emphasis"/>
    <w:basedOn w:val="8"/>
    <w:qFormat/>
    <w:uiPriority w:val="0"/>
    <w:rPr>
      <w:i/>
    </w:rPr>
  </w:style>
  <w:style w:type="character" w:styleId="11">
    <w:name w:val="Hyperlink"/>
    <w:basedOn w:val="8"/>
    <w:qFormat/>
    <w:uiPriority w:val="0"/>
    <w:rPr>
      <w:color w:val="333333"/>
      <w:u w:val="none"/>
    </w:rPr>
  </w:style>
  <w:style w:type="character" w:customStyle="1" w:styleId="12">
    <w:name w:val="nextstop"/>
    <w:basedOn w:val="8"/>
    <w:qFormat/>
    <w:uiPriority w:val="0"/>
  </w:style>
  <w:style w:type="character" w:customStyle="1" w:styleId="13">
    <w:name w:val="nextstop1"/>
    <w:basedOn w:val="8"/>
    <w:uiPriority w:val="0"/>
  </w:style>
  <w:style w:type="character" w:customStyle="1" w:styleId="14">
    <w:name w:val="last-child1"/>
    <w:basedOn w:val="8"/>
    <w:qFormat/>
    <w:uiPriority w:val="0"/>
  </w:style>
  <w:style w:type="character" w:customStyle="1" w:styleId="15">
    <w:name w:val="last-child2"/>
    <w:basedOn w:val="8"/>
    <w:qFormat/>
    <w:uiPriority w:val="0"/>
  </w:style>
  <w:style w:type="character" w:customStyle="1" w:styleId="16">
    <w:name w:val="last-child3"/>
    <w:basedOn w:val="8"/>
    <w:qFormat/>
    <w:uiPriority w:val="0"/>
  </w:style>
  <w:style w:type="character" w:customStyle="1" w:styleId="17">
    <w:name w:val="slb-rig02"/>
    <w:basedOn w:val="8"/>
    <w:qFormat/>
    <w:uiPriority w:val="0"/>
  </w:style>
  <w:style w:type="character" w:customStyle="1" w:styleId="18">
    <w:name w:val="prev13"/>
    <w:basedOn w:val="8"/>
    <w:qFormat/>
    <w:uiPriority w:val="0"/>
  </w:style>
  <w:style w:type="character" w:customStyle="1" w:styleId="19">
    <w:name w:val="prev14"/>
    <w:basedOn w:val="8"/>
    <w:qFormat/>
    <w:uiPriority w:val="0"/>
  </w:style>
  <w:style w:type="character" w:customStyle="1" w:styleId="20">
    <w:name w:val="on"/>
    <w:basedOn w:val="8"/>
    <w:qFormat/>
    <w:uiPriority w:val="0"/>
    <w:rPr>
      <w:color w:val="1658A0"/>
      <w:bdr w:val="single" w:color="1658A0" w:sz="6" w:space="0"/>
    </w:rPr>
  </w:style>
  <w:style w:type="character" w:customStyle="1" w:styleId="21">
    <w:name w:val="prevstop"/>
    <w:basedOn w:val="8"/>
    <w:qFormat/>
    <w:uiPriority w:val="0"/>
  </w:style>
  <w:style w:type="character" w:customStyle="1" w:styleId="22">
    <w:name w:val="icon4"/>
    <w:basedOn w:val="8"/>
    <w:qFormat/>
    <w:uiPriority w:val="0"/>
  </w:style>
  <w:style w:type="character" w:customStyle="1" w:styleId="23">
    <w:name w:val="ico4"/>
    <w:basedOn w:val="8"/>
    <w:qFormat/>
    <w:uiPriority w:val="0"/>
  </w:style>
  <w:style w:type="character" w:customStyle="1" w:styleId="24">
    <w:name w:val="ico41"/>
    <w:basedOn w:val="8"/>
    <w:qFormat/>
    <w:uiPriority w:val="0"/>
  </w:style>
  <w:style w:type="character" w:customStyle="1" w:styleId="25">
    <w:name w:val="ico42"/>
    <w:basedOn w:val="8"/>
    <w:qFormat/>
    <w:uiPriority w:val="0"/>
  </w:style>
  <w:style w:type="character" w:customStyle="1" w:styleId="26">
    <w:name w:val="share"/>
    <w:basedOn w:val="8"/>
    <w:qFormat/>
    <w:uiPriority w:val="0"/>
    <w:rPr>
      <w:color w:val="999999"/>
      <w:sz w:val="21"/>
      <w:szCs w:val="21"/>
    </w:rPr>
  </w:style>
  <w:style w:type="character" w:customStyle="1" w:styleId="27">
    <w:name w:val="slb-rig05"/>
    <w:basedOn w:val="8"/>
    <w:qFormat/>
    <w:uiPriority w:val="0"/>
  </w:style>
  <w:style w:type="character" w:customStyle="1" w:styleId="28">
    <w:name w:val="more1"/>
    <w:basedOn w:val="8"/>
    <w:qFormat/>
    <w:uiPriority w:val="0"/>
    <w:rPr>
      <w:sz w:val="39"/>
      <w:szCs w:val="39"/>
    </w:rPr>
  </w:style>
  <w:style w:type="character" w:customStyle="1" w:styleId="29">
    <w:name w:val="more2"/>
    <w:basedOn w:val="8"/>
    <w:qFormat/>
    <w:uiPriority w:val="0"/>
    <w:rPr>
      <w:color w:val="999999"/>
      <w:sz w:val="21"/>
      <w:szCs w:val="21"/>
      <w:bdr w:val="single" w:color="E7E7E7" w:sz="6" w:space="0"/>
    </w:rPr>
  </w:style>
  <w:style w:type="character" w:customStyle="1" w:styleId="30">
    <w:name w:val="icon2"/>
    <w:basedOn w:val="8"/>
    <w:uiPriority w:val="0"/>
  </w:style>
  <w:style w:type="character" w:customStyle="1" w:styleId="31">
    <w:name w:val="icon21"/>
    <w:basedOn w:val="8"/>
    <w:qFormat/>
    <w:uiPriority w:val="0"/>
  </w:style>
  <w:style w:type="character" w:customStyle="1" w:styleId="32">
    <w:name w:val="ico1"/>
    <w:basedOn w:val="8"/>
    <w:qFormat/>
    <w:uiPriority w:val="0"/>
  </w:style>
  <w:style w:type="character" w:customStyle="1" w:styleId="33">
    <w:name w:val="ico11"/>
    <w:basedOn w:val="8"/>
    <w:uiPriority w:val="0"/>
  </w:style>
  <w:style w:type="character" w:customStyle="1" w:styleId="34">
    <w:name w:val="ico12"/>
    <w:basedOn w:val="8"/>
    <w:qFormat/>
    <w:uiPriority w:val="0"/>
  </w:style>
  <w:style w:type="character" w:customStyle="1" w:styleId="35">
    <w:name w:val="ico2"/>
    <w:basedOn w:val="8"/>
    <w:qFormat/>
    <w:uiPriority w:val="0"/>
  </w:style>
  <w:style w:type="character" w:customStyle="1" w:styleId="36">
    <w:name w:val="ico21"/>
    <w:basedOn w:val="8"/>
    <w:qFormat/>
    <w:uiPriority w:val="0"/>
  </w:style>
  <w:style w:type="character" w:customStyle="1" w:styleId="37">
    <w:name w:val="ico22"/>
    <w:basedOn w:val="8"/>
    <w:qFormat/>
    <w:uiPriority w:val="0"/>
  </w:style>
  <w:style w:type="character" w:customStyle="1" w:styleId="38">
    <w:name w:val="ico3"/>
    <w:basedOn w:val="8"/>
    <w:qFormat/>
    <w:uiPriority w:val="0"/>
  </w:style>
  <w:style w:type="character" w:customStyle="1" w:styleId="39">
    <w:name w:val="ico31"/>
    <w:basedOn w:val="8"/>
    <w:uiPriority w:val="0"/>
  </w:style>
  <w:style w:type="character" w:customStyle="1" w:styleId="40">
    <w:name w:val="ico32"/>
    <w:basedOn w:val="8"/>
    <w:qFormat/>
    <w:uiPriority w:val="0"/>
  </w:style>
  <w:style w:type="character" w:customStyle="1" w:styleId="41">
    <w:name w:val="next13"/>
    <w:basedOn w:val="8"/>
    <w:qFormat/>
    <w:uiPriority w:val="0"/>
  </w:style>
  <w:style w:type="character" w:customStyle="1" w:styleId="42">
    <w:name w:val="next14"/>
    <w:basedOn w:val="8"/>
    <w:qFormat/>
    <w:uiPriority w:val="0"/>
  </w:style>
  <w:style w:type="character" w:customStyle="1" w:styleId="43">
    <w:name w:val="icon1"/>
    <w:basedOn w:val="8"/>
    <w:qFormat/>
    <w:uiPriority w:val="0"/>
  </w:style>
  <w:style w:type="character" w:customStyle="1" w:styleId="44">
    <w:name w:val="icon11"/>
    <w:basedOn w:val="8"/>
    <w:qFormat/>
    <w:uiPriority w:val="0"/>
  </w:style>
  <w:style w:type="character" w:customStyle="1" w:styleId="45">
    <w:name w:val="icon6"/>
    <w:basedOn w:val="8"/>
    <w:uiPriority w:val="0"/>
  </w:style>
  <w:style w:type="character" w:customStyle="1" w:styleId="46">
    <w:name w:val="icon61"/>
    <w:basedOn w:val="8"/>
    <w:qFormat/>
    <w:uiPriority w:val="0"/>
  </w:style>
  <w:style w:type="character" w:customStyle="1" w:styleId="47">
    <w:name w:val="slb-rig04"/>
    <w:basedOn w:val="8"/>
    <w:qFormat/>
    <w:uiPriority w:val="0"/>
  </w:style>
  <w:style w:type="character" w:customStyle="1" w:styleId="48">
    <w:name w:val="slb-rig041"/>
    <w:basedOn w:val="8"/>
    <w:qFormat/>
    <w:uiPriority w:val="0"/>
  </w:style>
  <w:style w:type="character" w:customStyle="1" w:styleId="49">
    <w:name w:val="slb-rig01"/>
    <w:basedOn w:val="8"/>
    <w:qFormat/>
    <w:uiPriority w:val="0"/>
  </w:style>
  <w:style w:type="character" w:customStyle="1" w:styleId="50">
    <w:name w:val="slb-rig011"/>
    <w:basedOn w:val="8"/>
    <w:qFormat/>
    <w:uiPriority w:val="0"/>
  </w:style>
  <w:style w:type="character" w:customStyle="1" w:styleId="51">
    <w:name w:val="slb-rig03"/>
    <w:basedOn w:val="8"/>
    <w:qFormat/>
    <w:uiPriority w:val="0"/>
  </w:style>
  <w:style w:type="character" w:customStyle="1" w:styleId="52">
    <w:name w:val="slb-rig031"/>
    <w:basedOn w:val="8"/>
    <w:qFormat/>
    <w:uiPriority w:val="0"/>
  </w:style>
  <w:style w:type="character" w:customStyle="1" w:styleId="53">
    <w:name w:val="slb-rig06"/>
    <w:basedOn w:val="8"/>
    <w:qFormat/>
    <w:uiPriority w:val="0"/>
  </w:style>
  <w:style w:type="character" w:customStyle="1" w:styleId="54">
    <w:name w:val="icon5"/>
    <w:basedOn w:val="8"/>
    <w:qFormat/>
    <w:uiPriority w:val="0"/>
  </w:style>
  <w:style w:type="character" w:customStyle="1" w:styleId="55">
    <w:name w:val="icon3"/>
    <w:basedOn w:val="8"/>
    <w:qFormat/>
    <w:uiPriority w:val="0"/>
  </w:style>
  <w:style w:type="character" w:customStyle="1" w:styleId="56">
    <w:name w:val="icon31"/>
    <w:basedOn w:val="8"/>
    <w:qFormat/>
    <w:uiPriority w:val="0"/>
  </w:style>
  <w:style w:type="character" w:customStyle="1" w:styleId="57">
    <w:name w:val="share&gt;i"/>
    <w:basedOn w:val="8"/>
    <w:uiPriority w:val="0"/>
  </w:style>
  <w:style w:type="character" w:customStyle="1" w:styleId="58">
    <w:name w:val="name"/>
    <w:basedOn w:val="8"/>
    <w:qFormat/>
    <w:uiPriority w:val="0"/>
    <w:rPr>
      <w:color w:val="666666"/>
      <w:sz w:val="21"/>
      <w:szCs w:val="21"/>
    </w:rPr>
  </w:style>
  <w:style w:type="character" w:customStyle="1" w:styleId="59">
    <w:name w:val="name2"/>
    <w:basedOn w:val="8"/>
    <w:qFormat/>
    <w:uiPriority w:val="0"/>
    <w:rPr>
      <w:color w:val="666666"/>
      <w:sz w:val="21"/>
      <w:szCs w:val="21"/>
    </w:rPr>
  </w:style>
  <w:style w:type="character" w:customStyle="1" w:styleId="60">
    <w:name w:val="页眉 Char"/>
    <w:basedOn w:val="8"/>
    <w:link w:val="5"/>
    <w:uiPriority w:val="0"/>
    <w:rPr>
      <w:rFonts w:asciiTheme="minorHAnsi" w:hAnsiTheme="minorHAnsi" w:eastAsiaTheme="minorEastAsia" w:cstheme="minorBidi"/>
      <w:kern w:val="2"/>
      <w:sz w:val="18"/>
      <w:szCs w:val="18"/>
    </w:rPr>
  </w:style>
  <w:style w:type="character" w:customStyle="1" w:styleId="61">
    <w:name w:val="页脚 Char"/>
    <w:basedOn w:val="8"/>
    <w:link w:val="4"/>
    <w:uiPriority w:val="0"/>
    <w:rPr>
      <w:rFonts w:asciiTheme="minorHAnsi" w:hAnsiTheme="minorHAnsi" w:eastAsiaTheme="minorEastAsia" w:cstheme="minorBidi"/>
      <w:kern w:val="2"/>
      <w:sz w:val="18"/>
      <w:szCs w:val="18"/>
    </w:rPr>
  </w:style>
  <w:style w:type="character" w:customStyle="1" w:styleId="62">
    <w:name w:val="日期 Char"/>
    <w:basedOn w:val="8"/>
    <w:link w:val="3"/>
    <w:uiPriority w:val="0"/>
    <w:rPr>
      <w:rFonts w:asciiTheme="minorHAnsi" w:hAnsiTheme="minorHAnsi" w:eastAsiaTheme="minorEastAsia" w:cstheme="minorBidi"/>
      <w:kern w:val="2"/>
      <w:sz w:val="21"/>
      <w:szCs w:val="24"/>
    </w:rPr>
  </w:style>
  <w:style w:type="paragraph" w:styleId="6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474</Words>
  <Characters>2702</Characters>
  <Lines>22</Lines>
  <Paragraphs>6</Paragraphs>
  <TotalTime>126</TotalTime>
  <ScaleCrop>false</ScaleCrop>
  <LinksUpToDate>false</LinksUpToDate>
  <CharactersWithSpaces>3170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2023-08-30T03:22:00Z</dcterms:created>
  <dc:creator>Administrator</dc:creator>
  <cp:lastModifiedBy>Administrator</cp:lastModifiedBy>
  <dcterms:modified xsi:type="dcterms:W3CDTF">2025-02-18T08:00:18Z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F91F813F76A64CA19A96A89501D68BDF_13</vt:lpwstr>
  </property>
</Properties>
</file>