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黑体" w:hAnsi="黑体" w:eastAsia="黑体" w:cs="黑体"/>
          <w:b w:val="0"/>
          <w:bCs w:val="0"/>
          <w:color w:val="000000"/>
          <w:spacing w:val="8"/>
          <w:kern w:val="0"/>
          <w:sz w:val="32"/>
          <w:szCs w:val="32"/>
          <w:lang w:val="en-US" w:eastAsia="zh-CN"/>
        </w:rPr>
      </w:pPr>
      <w:r>
        <w:rPr>
          <w:rFonts w:hint="eastAsia" w:ascii="黑体" w:hAnsi="黑体" w:eastAsia="黑体" w:cs="黑体"/>
          <w:b w:val="0"/>
          <w:bCs w:val="0"/>
          <w:color w:val="000000"/>
          <w:spacing w:val="8"/>
          <w:ker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pacing w:val="8"/>
          <w:kern w:val="0"/>
          <w:sz w:val="44"/>
          <w:szCs w:val="44"/>
          <w:lang w:val="en-US" w:eastAsia="zh-CN"/>
        </w:rPr>
        <w:t xml:space="preserve"> 2024年度农村道路客运和城市交通发展奖励涨价补贴资金申报自评报告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0" w:firstLineChars="50"/>
        <w:jc w:val="center"/>
        <w:textAlignment w:val="auto"/>
        <w:rPr>
          <w:rFonts w:hint="eastAsia" w:ascii="宋体" w:hAnsi="宋体" w:eastAsia="方正小标宋简体" w:cs="方正小标宋简体"/>
          <w:b w:val="0"/>
          <w:bCs/>
          <w:i w:val="0"/>
          <w:iCs w:val="0"/>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根据福建省财政厅、福建省交通运输厅关于印发《福建省农村道路客运和城市交通发展奖励涨价补贴资金管理办法》的通知（闽财规</w:t>
      </w:r>
      <w:r>
        <w:rPr>
          <w:rFonts w:hint="eastAsia" w:ascii="仿宋_GB2312" w:hAnsi="仿宋_GB2312" w:eastAsia="仿宋_GB2312" w:cs="仿宋_GB2312"/>
          <w:i w:val="0"/>
          <w:iCs w:val="0"/>
          <w:caps w:val="0"/>
          <w:color w:val="000000"/>
          <w:spacing w:val="0"/>
          <w:sz w:val="32"/>
          <w:szCs w:val="32"/>
          <w:shd w:val="clear" w:color="auto" w:fill="FFFFFF"/>
        </w:rPr>
        <w:t>〔2023〕</w:t>
      </w:r>
      <w:r>
        <w:rPr>
          <w:rFonts w:hint="eastAsia" w:ascii="仿宋_GB2312" w:hAnsi="仿宋_GB2312" w:eastAsia="仿宋_GB2312" w:cs="仿宋_GB2312"/>
          <w:b w:val="0"/>
          <w:bCs/>
          <w:sz w:val="32"/>
          <w:szCs w:val="32"/>
          <w:lang w:val="en-US" w:eastAsia="zh-CN"/>
        </w:rPr>
        <w:t>8号）要求，按照考核办法对本辖区</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b w:val="0"/>
          <w:bCs/>
          <w:sz w:val="32"/>
          <w:szCs w:val="32"/>
          <w:lang w:val="en-US" w:eastAsia="zh-CN"/>
        </w:rPr>
        <w:t>农村道路客运和城市交通发展奖励涨价补贴进行自评，主要涉及农村道路客运、等级客运站点运营、城市新能源公交车运营和出租车电动化运营情况。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一、农村道路客运发展自评情况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1、建制村通客车服务质量情况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2023年度我县共有271个建制村，通过购买的6部7座小型客车及130部公交车辆，以固定班线和公交线路实现村村通公交客运。本项分值20分，自评得分为20分。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2、地方财政保障情况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sz w:val="32"/>
          <w:szCs w:val="32"/>
          <w:lang w:val="en-US" w:eastAsia="zh-CN"/>
        </w:rPr>
        <w:t>2024年度：仙游县人民政府对仙游县众益公共交通有限公司成本规制方案</w:t>
      </w:r>
      <w:r>
        <w:rPr>
          <w:rFonts w:hint="eastAsia" w:ascii="仿宋_GB2312" w:hAnsi="仿宋_GB2312" w:eastAsia="仿宋_GB2312" w:cs="仿宋_GB2312"/>
          <w:color w:val="000000"/>
          <w:sz w:val="32"/>
          <w:szCs w:val="32"/>
          <w:lang w:val="en-US" w:eastAsia="zh-CN"/>
        </w:rPr>
        <w:t>建制村通客车每年的通客补助根据实际支出情况给予补助。补助金额84.19万以落实到位。本项分值10分，自评得分</w:t>
      </w:r>
      <w:r>
        <w:rPr>
          <w:rFonts w:hint="eastAsia" w:ascii="仿宋_GB2312" w:hAnsi="仿宋_GB2312" w:eastAsia="仿宋_GB2312" w:cs="仿宋_GB2312"/>
          <w:b w:val="0"/>
          <w:bCs/>
          <w:color w:val="000000"/>
          <w:sz w:val="32"/>
          <w:szCs w:val="32"/>
          <w:lang w:val="en-US" w:eastAsia="zh-CN"/>
        </w:rPr>
        <w:t>为10</w:t>
      </w:r>
      <w:r>
        <w:rPr>
          <w:rFonts w:hint="eastAsia" w:ascii="仿宋_GB2312" w:hAnsi="仿宋_GB2312" w:eastAsia="仿宋_GB2312" w:cs="仿宋_GB2312"/>
          <w:color w:val="000000"/>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3、地方绩效考核情况</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2024年度未</w:t>
      </w:r>
      <w:r>
        <w:rPr>
          <w:rFonts w:hint="eastAsia" w:ascii="仿宋_GB2312" w:hAnsi="仿宋_GB2312" w:eastAsia="仿宋_GB2312" w:cs="仿宋_GB2312"/>
          <w:color w:val="auto"/>
          <w:sz w:val="32"/>
          <w:szCs w:val="32"/>
        </w:rPr>
        <w:t>建制村通客车工作列入对</w:t>
      </w:r>
      <w:r>
        <w:rPr>
          <w:rFonts w:hint="eastAsia" w:ascii="仿宋_GB2312" w:hAnsi="仿宋_GB2312" w:eastAsia="仿宋_GB2312" w:cs="仿宋_GB2312"/>
          <w:color w:val="auto"/>
          <w:sz w:val="32"/>
          <w:szCs w:val="32"/>
          <w:lang w:eastAsia="zh-CN"/>
        </w:rPr>
        <w:t>当地交通运输局</w:t>
      </w:r>
      <w:r>
        <w:rPr>
          <w:rFonts w:hint="eastAsia" w:ascii="仿宋_GB2312" w:hAnsi="仿宋_GB2312" w:eastAsia="仿宋_GB2312" w:cs="仿宋_GB2312"/>
          <w:color w:val="auto"/>
          <w:sz w:val="32"/>
          <w:szCs w:val="32"/>
        </w:rPr>
        <w:t>年度绩效考核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本项分值6分，自评得分</w:t>
      </w:r>
      <w:r>
        <w:rPr>
          <w:rFonts w:hint="eastAsia" w:ascii="仿宋_GB2312" w:hAnsi="仿宋_GB2312" w:eastAsia="仿宋_GB2312" w:cs="仿宋_GB2312"/>
          <w:b w:val="0"/>
          <w:bCs/>
          <w:color w:val="auto"/>
          <w:sz w:val="32"/>
          <w:szCs w:val="32"/>
          <w:lang w:val="en-US" w:eastAsia="zh-CN"/>
        </w:rPr>
        <w:t>为0</w:t>
      </w:r>
      <w:r>
        <w:rPr>
          <w:rFonts w:hint="eastAsia" w:ascii="仿宋_GB2312" w:hAnsi="仿宋_GB2312" w:eastAsia="仿宋_GB2312" w:cs="仿宋_GB2312"/>
          <w:color w:val="auto"/>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4、辖区农客车辆月座位数情况</w:t>
      </w:r>
    </w:p>
    <w:p>
      <w:pPr>
        <w:pStyle w:val="4"/>
        <w:keepNext w:val="0"/>
        <w:keepLines w:val="0"/>
        <w:pageBreakBefore w:val="0"/>
        <w:widowControl w:val="0"/>
        <w:kinsoku/>
        <w:wordWrap/>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202</w:t>
      </w:r>
      <w:r>
        <w:rPr>
          <w:rFonts w:hint="eastAsia" w:ascii="仿宋_GB2312" w:hAnsi="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lang w:val="en-US" w:eastAsia="zh-CN"/>
        </w:rPr>
        <w:t>年度我县在册农村客运</w:t>
      </w:r>
      <w:r>
        <w:rPr>
          <w:rFonts w:hint="eastAsia" w:ascii="仿宋_GB2312" w:hAnsi="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lang w:val="en-US" w:eastAsia="zh-CN"/>
        </w:rPr>
        <w:t>部，车辆核定月座位数为</w:t>
      </w:r>
      <w:r>
        <w:rPr>
          <w:rFonts w:hint="eastAsia" w:ascii="仿宋_GB2312" w:hAnsi="仿宋_GB2312" w:cs="仿宋_GB2312"/>
          <w:b w:val="0"/>
          <w:bCs/>
          <w:color w:val="000000"/>
          <w:sz w:val="32"/>
          <w:szCs w:val="32"/>
          <w:lang w:val="en-US" w:eastAsia="zh-CN"/>
        </w:rPr>
        <w:t>504</w:t>
      </w:r>
      <w:r>
        <w:rPr>
          <w:rFonts w:hint="eastAsia" w:ascii="仿宋_GB2312" w:hAnsi="仿宋_GB2312" w:eastAsia="仿宋_GB2312" w:cs="仿宋_GB2312"/>
          <w:b w:val="0"/>
          <w:bCs/>
          <w:color w:val="000000"/>
          <w:sz w:val="32"/>
          <w:szCs w:val="32"/>
          <w:lang w:val="en-US" w:eastAsia="zh-CN"/>
        </w:rPr>
        <w:t>，涉及</w:t>
      </w:r>
      <w:r>
        <w:rPr>
          <w:rFonts w:hint="eastAsia" w:ascii="仿宋_GB2312" w:hAnsi="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val="en-US" w:eastAsia="zh-CN"/>
        </w:rPr>
        <w:t>家企业。自评得分为</w:t>
      </w:r>
      <w:r>
        <w:rPr>
          <w:rFonts w:hint="eastAsia" w:ascii="仿宋_GB2312" w:hAnsi="仿宋_GB2312" w:cs="仿宋_GB2312"/>
          <w:b w:val="0"/>
          <w:bCs/>
          <w:color w:val="000000"/>
          <w:sz w:val="32"/>
          <w:szCs w:val="32"/>
          <w:lang w:val="en-US" w:eastAsia="zh-CN"/>
        </w:rPr>
        <w:t>504</w:t>
      </w:r>
      <w:r>
        <w:rPr>
          <w:rFonts w:hint="eastAsia" w:ascii="仿宋_GB2312" w:hAnsi="仿宋_GB2312" w:eastAsia="仿宋_GB2312" w:cs="仿宋_GB2312"/>
          <w:b w:val="0"/>
          <w:bCs/>
          <w:color w:val="000000"/>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5、辖区建制村通客车难度情况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年我县共有建制村271个，建制村通车难度排名全市第一。</w:t>
      </w:r>
      <w:r>
        <w:rPr>
          <w:rFonts w:hint="eastAsia" w:ascii="仿宋_GB2312" w:hAnsi="仿宋_GB2312" w:eastAsia="仿宋_GB2312" w:cs="仿宋_GB2312"/>
          <w:b w:val="0"/>
          <w:bCs/>
          <w:color w:val="000000"/>
          <w:sz w:val="32"/>
          <w:szCs w:val="32"/>
          <w:lang w:val="en-US" w:eastAsia="zh-CN"/>
        </w:rPr>
        <w:t>自评得分为10分</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6、辖区农村道路客运安全稳定情况</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202</w:t>
      </w:r>
      <w:r>
        <w:rPr>
          <w:rFonts w:hint="eastAsia" w:ascii="仿宋_GB2312" w:hAnsi="仿宋_GB2312" w:cs="仿宋_GB2312"/>
          <w:color w:val="000000"/>
          <w:kern w:val="2"/>
          <w:sz w:val="32"/>
          <w:szCs w:val="32"/>
          <w:lang w:val="en-US" w:eastAsia="zh-CN" w:bidi="ar-SA"/>
        </w:rPr>
        <w:t>4</w:t>
      </w:r>
      <w:r>
        <w:rPr>
          <w:rFonts w:hint="eastAsia" w:ascii="仿宋_GB2312" w:hAnsi="仿宋_GB2312" w:eastAsia="仿宋_GB2312" w:cs="仿宋_GB2312"/>
          <w:color w:val="000000"/>
          <w:kern w:val="2"/>
          <w:sz w:val="32"/>
          <w:szCs w:val="32"/>
          <w:lang w:val="en-US" w:eastAsia="zh-CN" w:bidi="ar-SA"/>
        </w:rPr>
        <w:t>年度辖区农村客运企业未发生一起交通安全生产事故和农村道路客运领域群体性不稳定事件。</w:t>
      </w:r>
      <w:r>
        <w:rPr>
          <w:rFonts w:hint="eastAsia" w:ascii="仿宋_GB2312" w:hAnsi="仿宋_GB2312" w:eastAsia="仿宋_GB2312" w:cs="仿宋_GB2312"/>
          <w:color w:val="000000"/>
          <w:sz w:val="32"/>
          <w:szCs w:val="32"/>
          <w:lang w:val="en-US" w:eastAsia="zh-CN"/>
        </w:rPr>
        <w:t>本项分值8分，自评得分</w:t>
      </w:r>
      <w:r>
        <w:rPr>
          <w:rFonts w:hint="eastAsia" w:ascii="仿宋_GB2312" w:hAnsi="仿宋_GB2312" w:eastAsia="仿宋_GB2312" w:cs="仿宋_GB2312"/>
          <w:b w:val="0"/>
          <w:bCs/>
          <w:color w:val="000000"/>
          <w:sz w:val="32"/>
          <w:szCs w:val="32"/>
          <w:lang w:val="en-US" w:eastAsia="zh-CN"/>
        </w:rPr>
        <w:t>为8</w:t>
      </w:r>
      <w:r>
        <w:rPr>
          <w:rFonts w:hint="eastAsia" w:ascii="仿宋_GB2312" w:hAnsi="仿宋_GB2312" w:eastAsia="仿宋_GB2312" w:cs="仿宋_GB2312"/>
          <w:color w:val="000000"/>
          <w:sz w:val="32"/>
          <w:szCs w:val="32"/>
          <w:lang w:val="en-US" w:eastAsia="zh-CN"/>
        </w:rPr>
        <w:t>分。</w:t>
      </w:r>
    </w:p>
    <w:p>
      <w:pPr>
        <w:keepNext w:val="0"/>
        <w:keepLines w:val="0"/>
        <w:pageBreakBefore w:val="0"/>
        <w:widowControl w:val="0"/>
        <w:kinsoku/>
        <w:wordWrap/>
        <w:autoSpaceDE/>
        <w:autoSpaceDN/>
        <w:bidi w:val="0"/>
        <w:adjustRightInd/>
        <w:spacing w:line="560" w:lineRule="exact"/>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2023年度农村道路客运发展自评总得分为550 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二、等级客运站发展自评情况</w:t>
      </w:r>
    </w:p>
    <w:p>
      <w:pPr>
        <w:keepNext w:val="0"/>
        <w:keepLines w:val="0"/>
        <w:pageBreakBefore w:val="0"/>
        <w:widowControl w:val="0"/>
        <w:kinsoku/>
        <w:wordWrap/>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2024年度我县共有一个3级客运站，即莆田市城乡公交有限公司仙游汽车站，运营期间未发生同等级以上安全生产责任事故。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三、城市新能源公交车运营自评情况</w:t>
      </w:r>
    </w:p>
    <w:p>
      <w:pPr>
        <w:pStyle w:val="2"/>
        <w:keepNext w:val="0"/>
        <w:keepLines w:val="0"/>
        <w:pageBreakBefore w:val="0"/>
        <w:widowControl w:val="0"/>
        <w:kinsoku/>
        <w:wordWrap/>
        <w:autoSpaceDE/>
        <w:autoSpaceDN/>
        <w:bidi w:val="0"/>
        <w:adjustRightInd/>
        <w:spacing w:after="0" w:afterLines="0"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1.2024年度地方财政投入情况：</w:t>
      </w:r>
      <w:r>
        <w:rPr>
          <w:rFonts w:hint="eastAsia" w:ascii="仿宋_GB2312" w:hAnsi="仿宋_GB2312" w:eastAsia="仿宋_GB2312" w:cs="仿宋_GB2312"/>
          <w:b/>
          <w:bCs/>
          <w:sz w:val="32"/>
          <w:szCs w:val="32"/>
          <w:lang w:eastAsia="zh-CN"/>
        </w:rPr>
        <w:t>城市公交成本规制财政补贴政策。</w:t>
      </w:r>
      <w:r>
        <w:rPr>
          <w:rFonts w:hint="eastAsia" w:ascii="仿宋_GB2312" w:hAnsi="仿宋_GB2312" w:eastAsia="仿宋_GB2312" w:cs="仿宋_GB2312"/>
          <w:sz w:val="32"/>
          <w:szCs w:val="32"/>
          <w:lang w:eastAsia="zh-CN"/>
        </w:rPr>
        <w:t>我县已出台</w:t>
      </w:r>
      <w:r>
        <w:rPr>
          <w:rFonts w:hint="eastAsia" w:ascii="仿宋_GB2312" w:hAnsi="仿宋_GB2312" w:eastAsia="仿宋_GB2312" w:cs="仿宋_GB2312"/>
          <w:b w:val="0"/>
          <w:bCs w:val="0"/>
          <w:sz w:val="32"/>
          <w:szCs w:val="32"/>
          <w:lang w:eastAsia="zh-CN"/>
        </w:rPr>
        <w:t>《仙游县众益公共交通有限公司成本规制方案》，</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城市公交企业成本评估测算。</w:t>
      </w:r>
      <w:r>
        <w:rPr>
          <w:rFonts w:hint="eastAsia" w:ascii="仿宋_GB2312" w:hAnsi="仿宋_GB2312" w:eastAsia="仿宋_GB2312" w:cs="仿宋_GB2312"/>
          <w:sz w:val="32"/>
          <w:szCs w:val="32"/>
          <w:lang w:eastAsia="zh-CN"/>
        </w:rPr>
        <w:t>我县已开展</w:t>
      </w:r>
      <w:r>
        <w:rPr>
          <w:rFonts w:hint="eastAsia" w:ascii="仿宋_GB2312" w:hAnsi="仿宋_GB2312" w:eastAsia="仿宋_GB2312" w:cs="仿宋_GB2312"/>
          <w:sz w:val="32"/>
          <w:szCs w:val="32"/>
          <w:lang w:val="en-US" w:eastAsia="zh-CN"/>
        </w:rPr>
        <w:t>城市公交企业成本评估测算</w:t>
      </w:r>
      <w:r>
        <w:rPr>
          <w:rFonts w:hint="eastAsia" w:ascii="仿宋_GB2312" w:hAnsi="仿宋_GB2312" w:eastAsia="仿宋_GB2312" w:cs="仿宋_GB2312"/>
          <w:sz w:val="32"/>
          <w:szCs w:val="32"/>
          <w:lang w:eastAsia="zh-CN"/>
        </w:rPr>
        <w:t>，自评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rPr>
        <w:t>上年度城市公交成本规制财政补贴兑现率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根据《关于仙游县众益公共交通有限公司</w:t>
      </w:r>
      <w:r>
        <w:rPr>
          <w:rFonts w:hint="eastAsia" w:ascii="仿宋_GB2312" w:hAnsi="仿宋_GB2312" w:eastAsia="仿宋_GB2312" w:cs="仿宋_GB2312"/>
          <w:b w:val="0"/>
          <w:bCs w:val="0"/>
          <w:sz w:val="32"/>
          <w:szCs w:val="32"/>
          <w:lang w:val="en-US" w:eastAsia="zh-CN"/>
        </w:rPr>
        <w:t>2023年成本规制专项审计报告</w:t>
      </w:r>
      <w:r>
        <w:rPr>
          <w:rFonts w:hint="eastAsia" w:ascii="仿宋_GB2312" w:hAnsi="仿宋_GB2312" w:eastAsia="仿宋_GB2312" w:cs="仿宋_GB2312"/>
          <w:b w:val="0"/>
          <w:bCs w:val="0"/>
          <w:sz w:val="32"/>
          <w:szCs w:val="32"/>
          <w:lang w:eastAsia="zh-CN"/>
        </w:rPr>
        <w:t>》文件要求，应拨付公交成本规制补贴资金</w:t>
      </w:r>
      <w:r>
        <w:rPr>
          <w:rFonts w:hint="eastAsia" w:ascii="仿宋_GB2312" w:hAnsi="仿宋_GB2312" w:eastAsia="仿宋_GB2312" w:cs="仿宋_GB2312"/>
          <w:b w:val="0"/>
          <w:bCs w:val="0"/>
          <w:sz w:val="32"/>
          <w:szCs w:val="32"/>
          <w:lang w:val="en-US" w:eastAsia="zh-CN"/>
        </w:rPr>
        <w:t>2411.93万元</w:t>
      </w:r>
      <w:r>
        <w:rPr>
          <w:rFonts w:hint="eastAsia" w:ascii="仿宋_GB2312" w:hAnsi="仿宋_GB2312" w:eastAsia="仿宋_GB2312" w:cs="仿宋_GB2312"/>
          <w:b w:val="0"/>
          <w:bCs w:val="0"/>
          <w:sz w:val="32"/>
          <w:szCs w:val="32"/>
          <w:lang w:eastAsia="zh-CN"/>
        </w:rPr>
        <w:t>，实际拨付</w:t>
      </w:r>
      <w:r>
        <w:rPr>
          <w:rFonts w:hint="eastAsia" w:ascii="仿宋_GB2312" w:hAnsi="仿宋_GB2312" w:eastAsia="仿宋_GB2312" w:cs="仿宋_GB2312"/>
          <w:b w:val="0"/>
          <w:bCs w:val="0"/>
          <w:sz w:val="32"/>
          <w:szCs w:val="32"/>
          <w:lang w:val="en-US" w:eastAsia="zh-CN"/>
        </w:rPr>
        <w:t>1700万元。兑现率为70.5%</w:t>
      </w:r>
      <w:r>
        <w:rPr>
          <w:rFonts w:hint="eastAsia" w:ascii="仿宋_GB2312" w:hAnsi="仿宋_GB2312" w:eastAsia="仿宋_GB2312" w:cs="仿宋_GB2312"/>
          <w:b w:val="0"/>
          <w:bCs w:val="0"/>
          <w:sz w:val="32"/>
          <w:szCs w:val="32"/>
          <w:lang w:eastAsia="zh-CN"/>
        </w:rPr>
        <w:t>自评</w:t>
      </w:r>
      <w:r>
        <w:rPr>
          <w:rFonts w:hint="eastAsia" w:ascii="仿宋_GB2312" w:hAnsi="仿宋_GB2312" w:eastAsia="仿宋_GB2312" w:cs="仿宋_GB2312"/>
          <w:b w:val="0"/>
          <w:bCs w:val="0"/>
          <w:sz w:val="32"/>
          <w:szCs w:val="32"/>
          <w:lang w:val="en-US" w:eastAsia="zh-CN"/>
        </w:rPr>
        <w:t>0.6分。本项自评得分10.6分；</w:t>
      </w:r>
    </w:p>
    <w:p>
      <w:pPr>
        <w:pStyle w:val="2"/>
        <w:keepNext w:val="0"/>
        <w:keepLines w:val="0"/>
        <w:pageBreakBefore w:val="0"/>
        <w:widowControl w:val="0"/>
        <w:kinsoku/>
        <w:wordWrap/>
        <w:autoSpaceDE/>
        <w:autoSpaceDN/>
        <w:bidi w:val="0"/>
        <w:adjustRightInd/>
        <w:spacing w:after="0" w:afterLines="0"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2、新能源公交车推广应用情况：</w:t>
      </w:r>
      <w:r>
        <w:rPr>
          <w:rFonts w:hint="eastAsia" w:ascii="仿宋_GB2312" w:hAnsi="仿宋_GB2312" w:eastAsia="仿宋_GB2312" w:cs="仿宋_GB2312"/>
          <w:sz w:val="32"/>
          <w:szCs w:val="32"/>
          <w:lang w:val="en-US" w:eastAsia="zh-CN"/>
        </w:rPr>
        <w:t>2024年度我县在册公交车辆130部，其中新能源车辆130部，新能源比例为100%。</w:t>
      </w:r>
      <w:r>
        <w:rPr>
          <w:rFonts w:hint="eastAsia" w:ascii="仿宋_GB2312" w:hAnsi="仿宋_GB2312" w:eastAsia="仿宋_GB2312" w:cs="仿宋_GB2312"/>
          <w:color w:val="auto"/>
          <w:sz w:val="32"/>
          <w:szCs w:val="32"/>
          <w:lang w:val="en-US" w:eastAsia="zh-CN"/>
        </w:rPr>
        <w:t>本项自评得分为20分；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3、国家示范工程创建城市情况：</w:t>
      </w:r>
      <w:r>
        <w:rPr>
          <w:rFonts w:hint="eastAsia" w:ascii="仿宋_GB2312" w:hAnsi="仿宋_GB2312" w:eastAsia="仿宋_GB2312" w:cs="仿宋_GB2312"/>
          <w:color w:val="auto"/>
          <w:sz w:val="32"/>
          <w:szCs w:val="32"/>
          <w:lang w:val="en-US" w:eastAsia="zh-CN"/>
        </w:rPr>
        <w:t>2024年度未</w:t>
      </w:r>
      <w:r>
        <w:rPr>
          <w:rFonts w:hint="eastAsia" w:ascii="仿宋_GB2312" w:hAnsi="仿宋_GB2312" w:eastAsia="仿宋_GB2312" w:cs="仿宋_GB2312"/>
          <w:color w:val="auto"/>
          <w:sz w:val="32"/>
          <w:szCs w:val="32"/>
          <w:lang w:eastAsia="zh-CN"/>
        </w:rPr>
        <w:t>积极参与我市国家公交都市建设示范城市或绿色出行城市创建工作。本项目自评得分为</w:t>
      </w:r>
      <w:r>
        <w:rPr>
          <w:rFonts w:hint="eastAsia" w:ascii="仿宋_GB2312" w:hAnsi="仿宋_GB2312" w:eastAsia="仿宋_GB2312" w:cs="仿宋_GB2312"/>
          <w:color w:val="auto"/>
          <w:sz w:val="32"/>
          <w:szCs w:val="32"/>
          <w:lang w:val="en-US" w:eastAsia="zh-CN"/>
        </w:rPr>
        <w:t>0分。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4、新能源公交车数量情况：</w:t>
      </w:r>
      <w:r>
        <w:rPr>
          <w:rFonts w:hint="eastAsia" w:ascii="仿宋_GB2312" w:hAnsi="仿宋_GB2312" w:eastAsia="仿宋_GB2312" w:cs="仿宋_GB2312"/>
          <w:sz w:val="32"/>
          <w:szCs w:val="32"/>
          <w:lang w:val="en-US" w:eastAsia="zh-CN"/>
        </w:rPr>
        <w:t>2024年度新能源公交车辆为130部、131.2标台。本项自评得分为131.2分。</w:t>
      </w:r>
    </w:p>
    <w:p>
      <w:pPr>
        <w:keepNext w:val="0"/>
        <w:keepLines w:val="0"/>
        <w:pageBreakBefore w:val="0"/>
        <w:widowControl w:val="0"/>
        <w:kinsoku/>
        <w:wordWrap/>
        <w:autoSpaceDE/>
        <w:autoSpaceDN/>
        <w:bidi w:val="0"/>
        <w:adjustRightInd/>
        <w:spacing w:line="560" w:lineRule="exact"/>
        <w:ind w:left="0" w:leftChars="0"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sz w:val="32"/>
          <w:szCs w:val="32"/>
          <w:lang w:val="en-US" w:eastAsia="zh-CN"/>
        </w:rPr>
        <w:t>综上，2024年度城市新能源公交车运营自评得分为161.2分。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四、出租车电动化自评情况</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经审核，仙游县2024年度共有新能源巡游出租车在册车辆数43辆，总在册月数515个月。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五、农村客运站点发展自评情况</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仙游县已承担</w:t>
      </w:r>
      <w:r>
        <w:rPr>
          <w:rFonts w:hint="eastAsia" w:ascii="仿宋_GB2312" w:hAnsi="仿宋_GB2312" w:eastAsia="仿宋_GB2312" w:cs="仿宋_GB2312"/>
          <w:sz w:val="32"/>
          <w:szCs w:val="32"/>
          <w:lang w:val="en-US" w:eastAsia="zh-CN"/>
        </w:rPr>
        <w:t>2024年度省级农村客货邮融合发展试点任务，我县按照《福建省农村客货邮融合发展试点县考核方案》落实各项工作。根据第4项“其他考核因数系数”第（1）点，自评加10分。</w:t>
      </w:r>
    </w:p>
    <w:p>
      <w:pPr>
        <w:pStyle w:val="4"/>
        <w:keepNext w:val="0"/>
        <w:keepLines w:val="0"/>
        <w:pageBreakBefore w:val="0"/>
        <w:widowControl w:val="0"/>
        <w:kinsoku/>
        <w:wordWrap/>
        <w:autoSpaceDE/>
        <w:autoSpaceDN/>
        <w:bidi w:val="0"/>
        <w:adjustRightInd/>
        <w:spacing w:line="560" w:lineRule="exact"/>
        <w:ind w:left="0" w:leftChars="0" w:firstLine="960" w:firstLineChars="300"/>
      </w:pPr>
      <w:r>
        <w:rPr>
          <w:rFonts w:hint="eastAsia" w:ascii="仿宋_GB2312" w:hAnsi="仿宋_GB2312" w:eastAsia="仿宋_GB2312" w:cs="仿宋_GB2312"/>
          <w:sz w:val="32"/>
          <w:szCs w:val="32"/>
          <w:lang w:val="en-US" w:eastAsia="zh-CN"/>
        </w:rPr>
        <w:t>综上2023年度农村客运站点发展自评得10分。</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6351D"/>
    <w:rsid w:val="0516351D"/>
    <w:rsid w:val="1BC76EE8"/>
    <w:rsid w:val="59FF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spacing w:after="120" w:afterLines="0"/>
      <w:ind w:left="420" w:leftChars="200"/>
    </w:pPr>
  </w:style>
  <w:style w:type="paragraph" w:styleId="4">
    <w:name w:val="Body Text"/>
    <w:basedOn w:val="1"/>
    <w:next w:val="1"/>
    <w:unhideWhenUsed/>
    <w:qFormat/>
    <w:uiPriority w:val="0"/>
    <w:rPr>
      <w:rFonts w:ascii="Times New Roman" w:hAnsi="Times New Roman" w:eastAsia="仿宋_GB2312"/>
      <w:sz w:val="32"/>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customStyle="1" w:styleId="8">
    <w:name w:val="NormalCharacter"/>
    <w:qFormat/>
    <w:uiPriority w:val="0"/>
    <w:rPr>
      <w:rFonts w:hint="default" w:ascii="Times New Roman" w:hAnsi="Times New Roman" w:eastAsia="宋体" w:cs="Times New Roman"/>
    </w:rPr>
  </w:style>
  <w:style w:type="paragraph" w:customStyle="1" w:styleId="9">
    <w:name w:val="Body Text First Indent1"/>
    <w:basedOn w:val="5"/>
    <w:next w:val="1"/>
    <w:qFormat/>
    <w:uiPriority w:val="0"/>
    <w:pPr>
      <w:spacing w:line="360" w:lineRule="auto"/>
      <w:ind w:firstLine="100" w:firstLineChars="100"/>
    </w:pPr>
    <w:rPr>
      <w:rFonts w:eastAsia="宋体"/>
      <w:color w:val="auto"/>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1364</Characters>
  <Lines>0</Lines>
  <Paragraphs>0</Paragraphs>
  <TotalTime>3</TotalTime>
  <ScaleCrop>false</ScaleCrop>
  <LinksUpToDate>false</LinksUpToDate>
  <CharactersWithSpaces>1378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2025-03-11T07:21:00Z</dcterms:created>
  <dc:creator>Administrator</dc:creator>
  <cp:lastModifiedBy>Administrator</cp:lastModifiedBy>
  <dcterms:modified xsi:type="dcterms:W3CDTF">2025-03-11T07:30:24Z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9A0879F7F0734C819214DB511099814B_13</vt:lpwstr>
  </property>
  <property fmtid="{D5CDD505-2E9C-101B-9397-08002B2CF9AE}" pid="4" name="KSOTemplateDocerSaveRecord">
    <vt:lpwstr>eyJoZGlkIjoiNjRmZDFhMmJlNjU2Yzg1OWUxYjM0N2E5MWNiYjhlY2UifQ==</vt:lpwstr>
  </property>
</Properties>
</file>