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80" w:lineRule="atLeast"/>
        <w:rPr>
          <w:rFonts w:ascii="仿宋_GB2312" w:hAnsi="宋体" w:eastAsia="仿宋_GB2312" w:cs="宋体"/>
          <w:color w:val="000000"/>
          <w:kern w:val="0"/>
          <w:sz w:val="30"/>
          <w:szCs w:val="30"/>
        </w:rPr>
      </w:pPr>
    </w:p>
    <w:p>
      <w:pPr>
        <w:widowControl/>
        <w:spacing w:line="280" w:lineRule="atLeast"/>
        <w:rPr>
          <w:rFonts w:ascii="仿宋_GB2312" w:hAnsi="宋体" w:eastAsia="仿宋_GB2312" w:cs="宋体"/>
          <w:color w:val="000000"/>
          <w:kern w:val="0"/>
          <w:sz w:val="30"/>
          <w:szCs w:val="30"/>
        </w:rPr>
      </w:pPr>
    </w:p>
    <w:p>
      <w:pPr>
        <w:widowControl/>
        <w:spacing w:line="280" w:lineRule="atLeast"/>
        <w:rPr>
          <w:rFonts w:ascii="仿宋_GB2312" w:hAnsi="宋体" w:eastAsia="仿宋_GB2312" w:cs="宋体"/>
          <w:color w:val="000000"/>
          <w:kern w:val="0"/>
          <w:sz w:val="30"/>
          <w:szCs w:val="30"/>
        </w:rPr>
      </w:pPr>
    </w:p>
    <w:p>
      <w:pPr>
        <w:widowControl/>
        <w:spacing w:line="280" w:lineRule="atLeast"/>
        <w:jc w:val="righ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闽科高函〔201</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号</w:t>
      </w:r>
    </w:p>
    <w:p>
      <w:pPr>
        <w:widowControl/>
        <w:spacing w:line="280" w:lineRule="atLeast"/>
        <w:jc w:val="right"/>
        <w:rPr>
          <w:rFonts w:ascii="仿宋_GB2312" w:hAnsi="宋体" w:eastAsia="仿宋_GB2312" w:cs="宋体"/>
          <w:color w:val="000000"/>
          <w:kern w:val="0"/>
          <w:sz w:val="30"/>
          <w:szCs w:val="30"/>
        </w:rPr>
      </w:pPr>
    </w:p>
    <w:p>
      <w:pPr>
        <w:widowControl/>
        <w:spacing w:line="280" w:lineRule="atLeast"/>
        <w:jc w:val="center"/>
        <w:rPr>
          <w:rFonts w:hint="eastAsia" w:ascii="仿宋_GB2312" w:hAnsi="宋体" w:eastAsia="仿宋_GB2312" w:cs="宋体"/>
          <w:b/>
          <w:color w:val="000000"/>
          <w:kern w:val="0"/>
          <w:sz w:val="36"/>
          <w:szCs w:val="36"/>
        </w:rPr>
      </w:pPr>
      <w:r>
        <w:rPr>
          <w:rFonts w:hint="eastAsia" w:ascii="仿宋_GB2312" w:hAnsi="宋体" w:eastAsia="仿宋_GB2312" w:cs="宋体"/>
          <w:b/>
          <w:color w:val="000000"/>
          <w:kern w:val="0"/>
          <w:sz w:val="36"/>
          <w:szCs w:val="36"/>
          <w:lang w:eastAsia="zh-CN"/>
        </w:rPr>
        <w:t>福建省科学技术厅</w:t>
      </w:r>
      <w:r>
        <w:rPr>
          <w:rFonts w:hint="eastAsia" w:ascii="仿宋_GB2312" w:hAnsi="宋体" w:eastAsia="仿宋_GB2312" w:cs="宋体"/>
          <w:b/>
          <w:color w:val="000000"/>
          <w:kern w:val="0"/>
          <w:sz w:val="36"/>
          <w:szCs w:val="36"/>
        </w:rPr>
        <w:t>关于开展2018年</w:t>
      </w:r>
    </w:p>
    <w:p>
      <w:pPr>
        <w:widowControl/>
        <w:spacing w:line="280" w:lineRule="atLeast"/>
        <w:jc w:val="center"/>
        <w:rPr>
          <w:rFonts w:ascii="仿宋_GB2312" w:hAnsi="宋体" w:eastAsia="仿宋_GB2312" w:cs="宋体"/>
          <w:b/>
          <w:color w:val="000000"/>
          <w:kern w:val="0"/>
          <w:sz w:val="36"/>
          <w:szCs w:val="36"/>
        </w:rPr>
      </w:pPr>
      <w:r>
        <w:rPr>
          <w:rFonts w:hint="eastAsia" w:ascii="仿宋_GB2312" w:hAnsi="宋体" w:eastAsia="仿宋_GB2312" w:cs="宋体"/>
          <w:b/>
          <w:color w:val="000000"/>
          <w:kern w:val="0"/>
          <w:sz w:val="36"/>
          <w:szCs w:val="36"/>
        </w:rPr>
        <w:t>火炬计划统计工作的通知</w:t>
      </w:r>
    </w:p>
    <w:p>
      <w:pPr>
        <w:widowControl/>
        <w:spacing w:line="280" w:lineRule="atLeast"/>
        <w:jc w:val="center"/>
        <w:rPr>
          <w:rFonts w:ascii="仿宋_GB2312" w:hAnsi="宋体" w:eastAsia="仿宋_GB2312" w:cs="宋体"/>
          <w:b/>
          <w:color w:val="000000"/>
          <w:kern w:val="0"/>
          <w:sz w:val="32"/>
          <w:szCs w:val="32"/>
        </w:rPr>
      </w:pPr>
    </w:p>
    <w:p>
      <w:pPr>
        <w:snapToGrid w:val="0"/>
        <w:spacing w:line="360" w:lineRule="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各有关单位：</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根据科技部火炬中心《关于开展2018年度火炬统计调查工作的通知》（国科火字〔201</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号）的要求，请各单位认真组织做好2018年全省火炬统计调查工作。现就火炬统计具体事宜通知如下：</w:t>
      </w:r>
    </w:p>
    <w:p>
      <w:pPr>
        <w:snapToGrid w:val="0"/>
        <w:spacing w:line="360" w:lineRule="auto"/>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 工作安排</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b/>
          <w:color w:val="000000"/>
          <w:kern w:val="0"/>
          <w:sz w:val="32"/>
          <w:szCs w:val="32"/>
        </w:rPr>
        <w:t>高新技术企业综合统计快报表</w:t>
      </w:r>
      <w:r>
        <w:rPr>
          <w:rFonts w:hint="eastAsia" w:ascii="仿宋_GB2312" w:hAnsi="宋体" w:eastAsia="仿宋_GB2312" w:cs="宋体"/>
          <w:color w:val="000000"/>
          <w:kern w:val="0"/>
          <w:sz w:val="32"/>
          <w:szCs w:val="32"/>
        </w:rPr>
        <w:t>务必于2019年1月20日前上报。</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b/>
          <w:color w:val="000000"/>
          <w:kern w:val="0"/>
          <w:sz w:val="32"/>
          <w:szCs w:val="32"/>
        </w:rPr>
        <w:t>统计年报</w:t>
      </w:r>
      <w:r>
        <w:rPr>
          <w:rFonts w:hint="eastAsia" w:ascii="仿宋_GB2312" w:hAnsi="宋体" w:eastAsia="仿宋_GB2312" w:cs="宋体"/>
          <w:color w:val="000000"/>
          <w:kern w:val="0"/>
          <w:sz w:val="32"/>
          <w:szCs w:val="32"/>
        </w:rPr>
        <w:t>的上报截止时间为2019年3月25日。</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lang w:eastAsia="zh-CN"/>
        </w:rPr>
        <w:t>.</w:t>
      </w:r>
      <w:r>
        <w:rPr>
          <w:rFonts w:hint="eastAsia" w:ascii="仿宋_GB2312" w:hAnsi="仿宋" w:eastAsia="仿宋_GB2312"/>
          <w:b/>
          <w:sz w:val="32"/>
        </w:rPr>
        <w:t>高新技术企业综合统计月报表</w:t>
      </w:r>
      <w:r>
        <w:rPr>
          <w:rFonts w:hint="eastAsia" w:ascii="仿宋_GB2312" w:hAnsi="宋体" w:eastAsia="仿宋_GB2312" w:cs="宋体"/>
          <w:color w:val="000000"/>
          <w:kern w:val="0"/>
          <w:sz w:val="32"/>
          <w:szCs w:val="32"/>
        </w:rPr>
        <w:t>上报截止时间分别为2019年</w:t>
      </w:r>
      <w:r>
        <w:rPr>
          <w:rFonts w:hint="eastAsia" w:ascii="仿宋_GB2312" w:hAnsi="仿宋" w:eastAsia="仿宋_GB2312"/>
          <w:sz w:val="32"/>
        </w:rPr>
        <w:t>6月10日、</w:t>
      </w:r>
      <w:r>
        <w:rPr>
          <w:rFonts w:hint="eastAsia" w:ascii="仿宋_GB2312" w:hAnsi="宋体" w:eastAsia="仿宋_GB2312" w:cs="宋体"/>
          <w:color w:val="000000"/>
          <w:kern w:val="0"/>
          <w:sz w:val="32"/>
          <w:szCs w:val="32"/>
        </w:rPr>
        <w:t>2019年</w:t>
      </w:r>
      <w:r>
        <w:rPr>
          <w:rFonts w:hint="eastAsia" w:ascii="仿宋_GB2312" w:hAnsi="仿宋" w:eastAsia="仿宋_GB2312"/>
          <w:sz w:val="32"/>
        </w:rPr>
        <w:t>9月10日。</w:t>
      </w:r>
    </w:p>
    <w:p>
      <w:pPr>
        <w:snapToGrid w:val="0"/>
        <w:spacing w:line="360" w:lineRule="auto"/>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二、上报统计资料清单</w:t>
      </w:r>
    </w:p>
    <w:p>
      <w:pPr>
        <w:snapToGrid w:val="0"/>
        <w:spacing w:line="360" w:lineRule="auto"/>
        <w:ind w:firstLine="640" w:firstLineChars="2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（一）高新技术企业综合统计快报表（附件一）</w:t>
      </w:r>
    </w:p>
    <w:p>
      <w:pPr>
        <w:pStyle w:val="3"/>
        <w:ind w:firstLine="480" w:firstLineChars="150"/>
        <w:jc w:val="both"/>
        <w:rPr>
          <w:rFonts w:ascii="仿宋_GB2312" w:eastAsia="仿宋_GB2312" w:cs="宋体"/>
          <w:color w:val="000000"/>
          <w:kern w:val="0"/>
          <w:szCs w:val="32"/>
        </w:rPr>
      </w:pPr>
      <w:r>
        <w:rPr>
          <w:rFonts w:hint="eastAsia" w:ascii="仿宋_GB2312" w:eastAsia="仿宋_GB2312" w:cs="宋体"/>
          <w:color w:val="000000"/>
          <w:kern w:val="0"/>
          <w:szCs w:val="32"/>
        </w:rPr>
        <w:t>经认定的国家级高新技术企业，线下填报2018年1月1日至2018年12月31日期间的内容。各设区市科技部门收集汇总企业线下报表数据后，</w:t>
      </w:r>
      <w:r>
        <w:rPr>
          <w:rFonts w:hint="eastAsia" w:ascii="仿宋_GB2312" w:hAnsi="仿宋" w:eastAsia="仿宋_GB2312"/>
          <w:szCs w:val="32"/>
        </w:rPr>
        <w:t>通过</w:t>
      </w:r>
      <w:r>
        <w:rPr>
          <w:rFonts w:hint="eastAsia" w:ascii="仿宋_GB2312" w:hAnsi="仿宋" w:eastAsia="仿宋_GB2312"/>
        </w:rPr>
        <w:t>火炬统计调查信息系统网络平台（</w:t>
      </w:r>
      <w:r>
        <w:rPr>
          <w:rFonts w:eastAsia="仿宋_GB2312"/>
        </w:rPr>
        <w:t>https://tj.chinatorch.gov.cn</w:t>
      </w:r>
      <w:r>
        <w:rPr>
          <w:rFonts w:hint="eastAsia" w:ascii="仿宋_GB2312" w:hAnsi="仿宋" w:eastAsia="仿宋_GB2312"/>
        </w:rPr>
        <w:t>）</w:t>
      </w:r>
      <w:r>
        <w:rPr>
          <w:rFonts w:hint="eastAsia" w:ascii="仿宋_GB2312" w:hAnsi="仿宋" w:eastAsia="仿宋_GB2312"/>
          <w:szCs w:val="32"/>
        </w:rPr>
        <w:t>上报汇总数据并打印纸质报表加</w:t>
      </w:r>
      <w:r>
        <w:rPr>
          <w:rFonts w:hint="eastAsia" w:ascii="仿宋_GB2312" w:eastAsia="仿宋_GB2312" w:cs="宋体"/>
          <w:color w:val="000000"/>
          <w:kern w:val="0"/>
          <w:szCs w:val="32"/>
        </w:rPr>
        <w:t>盖公章后上报（一式一份）。</w:t>
      </w:r>
    </w:p>
    <w:p>
      <w:pPr>
        <w:snapToGrid w:val="0"/>
        <w:spacing w:line="360" w:lineRule="auto"/>
        <w:ind w:firstLine="640" w:firstLineChars="200"/>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（二）统计年报</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火炬计划统计年报</w:t>
      </w:r>
      <w:r>
        <w:rPr>
          <w:rFonts w:hint="eastAsia" w:ascii="仿宋_GB2312" w:hAnsi="宋体" w:eastAsia="仿宋_GB2312" w:cs="宋体"/>
          <w:color w:val="000000"/>
          <w:kern w:val="0"/>
          <w:sz w:val="32"/>
          <w:szCs w:val="32"/>
        </w:rPr>
        <w:t>调查内容为2018年1月1日至2018年12月31日期间的内容，</w:t>
      </w:r>
      <w:r>
        <w:rPr>
          <w:rFonts w:hint="eastAsia" w:ascii="仿宋_GB2312" w:hAnsi="仿宋" w:eastAsia="仿宋_GB2312"/>
          <w:sz w:val="32"/>
          <w:szCs w:val="32"/>
        </w:rPr>
        <w:t>通过科技部</w:t>
      </w:r>
      <w:r>
        <w:rPr>
          <w:rFonts w:hint="eastAsia" w:ascii="仿宋_GB2312" w:hAnsi="宋体" w:eastAsia="仿宋_GB2312" w:cs="宋体"/>
          <w:color w:val="000000"/>
          <w:kern w:val="0"/>
          <w:sz w:val="32"/>
          <w:szCs w:val="32"/>
        </w:rPr>
        <w:t>火炬统计调查信息系统网络平台（</w:t>
      </w:r>
      <w:r>
        <w:rPr>
          <w:rFonts w:ascii="仿宋_GB2312" w:hAnsi="宋体" w:eastAsia="仿宋_GB2312" w:cs="宋体"/>
          <w:color w:val="000000"/>
          <w:kern w:val="0"/>
          <w:sz w:val="32"/>
          <w:szCs w:val="32"/>
        </w:rPr>
        <w:t>https://tj.chinatorch.gov.cn</w:t>
      </w:r>
      <w:r>
        <w:rPr>
          <w:rFonts w:hint="eastAsia" w:ascii="仿宋_GB2312" w:hAnsi="宋体" w:eastAsia="仿宋_GB2312" w:cs="宋体"/>
          <w:color w:val="000000"/>
          <w:kern w:val="0"/>
          <w:sz w:val="32"/>
          <w:szCs w:val="32"/>
        </w:rPr>
        <w:t>）在线填报和打印。统计对</w:t>
      </w:r>
      <w:r>
        <w:rPr>
          <w:rFonts w:hint="eastAsia" w:ascii="仿宋_GB2312" w:hAnsi="仿宋" w:eastAsia="仿宋_GB2312"/>
          <w:sz w:val="32"/>
          <w:szCs w:val="32"/>
        </w:rPr>
        <w:t>象为区外有效期内的高新技术企业、</w:t>
      </w:r>
      <w:r>
        <w:rPr>
          <w:rFonts w:hint="eastAsia" w:ascii="仿宋_GB2312" w:hAnsi="宋体" w:eastAsia="仿宋_GB2312" w:cs="宋体"/>
          <w:color w:val="000000"/>
          <w:kern w:val="0"/>
          <w:sz w:val="32"/>
          <w:szCs w:val="32"/>
        </w:rPr>
        <w:t>国家火炬软件产业基地、国家火炬计划特色产业基地、创新型产业集群、国家大学科技园。</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账号密码：市、区、县各级科技部门、国家火炬计划特色产业基地用户、创新型产业集群用户、国家大学科技园、软件产业基地用户名前加“tj”，密码不变；高新技术企业用户名为18位的统一社会信用代码，密码与高新技术企业申报时所使用的密码一致，若忘记密码，可通过“密码找回”功能重置。</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数据的填报和报表打印：填报单位登录系统逐步填写相关数据，保存成功后检查平衡关系是否通过，并填写错误和警告的说明后提交，待上一级科技管理部门审核后，通过系统打印出带“火炬”标识水印的报表。</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3.数据审核：各级科技主管部门在线审核辖区内填报单位的年报数据。查看平衡关系已通过，错误和警告说明已填写后点击“未审”，待显示“已审”表示审核成功。</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4.火炬计</w:t>
      </w:r>
      <w:r>
        <w:rPr>
          <w:rFonts w:hint="eastAsia" w:ascii="仿宋_GB2312" w:hAnsi="仿宋" w:eastAsia="仿宋_GB2312"/>
          <w:sz w:val="32"/>
          <w:szCs w:val="32"/>
        </w:rPr>
        <w:t>划统计年报需报送以下纸质报表</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hint="eastAsia" w:ascii="仿宋_GB2312" w:hAnsi="仿宋" w:eastAsia="仿宋_GB2312"/>
          <w:sz w:val="32"/>
          <w:szCs w:val="32"/>
        </w:rPr>
        <w:t>国家高新区企业和高新技术企业统计报表</w:t>
      </w:r>
      <w:r>
        <w:rPr>
          <w:rFonts w:hint="eastAsia" w:ascii="仿宋_GB2312" w:eastAsia="仿宋_GB2312"/>
          <w:sz w:val="32"/>
          <w:szCs w:val="32"/>
        </w:rPr>
        <w:t>》</w:t>
      </w:r>
      <w:r>
        <w:rPr>
          <w:rFonts w:hint="eastAsia" w:ascii="仿宋_GB2312" w:hAnsi="宋体" w:eastAsia="仿宋_GB2312" w:cs="宋体"/>
          <w:color w:val="000000"/>
          <w:kern w:val="0"/>
          <w:sz w:val="32"/>
          <w:szCs w:val="32"/>
        </w:rPr>
        <w:t>（区外高新技术企业填报，一式一份上报，总收入2亿元以上，一式两份上报，加盖企业公章）;</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（2）《国家火炬计划软件产业基地统计报表》（由福州软件园填写，一式两份，加盖主管单位公章）</w:t>
      </w:r>
      <w:r>
        <w:rPr>
          <w:rFonts w:hint="eastAsia" w:ascii="宋体" w:hAnsi="宋体" w:eastAsia="仿宋_GB2312" w:cs="宋体"/>
          <w:color w:val="000000"/>
          <w:kern w:val="0"/>
          <w:sz w:val="32"/>
          <w:szCs w:val="32"/>
        </w:rPr>
        <w:t>；</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（3）《国家火炬特色产业基地统计报表》（一式两份，加盖主管单位公章。统计清单见附件二）;</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（4）《创新型产业集群统计报表》（闽东中小电机产业集群、泉州微波通信创新型产业集群，一式两份，加盖主管单位公章）;</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w:t>
      </w:r>
      <w:r>
        <w:rPr>
          <w:rFonts w:hint="eastAsia" w:ascii="宋体" w:hAnsi="宋体" w:eastAsia="仿宋_GB2312" w:cs="宋体"/>
          <w:color w:val="000000"/>
          <w:kern w:val="0"/>
          <w:sz w:val="32"/>
          <w:szCs w:val="32"/>
        </w:rPr>
        <w:t>《国家大学科技园情况统计报表》（福州大学科技园填写，一式二份，</w:t>
      </w:r>
      <w:r>
        <w:rPr>
          <w:rFonts w:hint="eastAsia" w:ascii="仿宋_GB2312" w:hAnsi="宋体" w:eastAsia="仿宋_GB2312" w:cs="宋体"/>
          <w:color w:val="000000"/>
          <w:kern w:val="0"/>
          <w:sz w:val="32"/>
          <w:szCs w:val="32"/>
        </w:rPr>
        <w:t>加盖主管单位公章</w:t>
      </w:r>
      <w:r>
        <w:rPr>
          <w:rFonts w:hint="eastAsia" w:ascii="宋体" w:hAnsi="宋体" w:eastAsia="仿宋_GB2312" w:cs="宋体"/>
          <w:color w:val="000000"/>
          <w:kern w:val="0"/>
          <w:sz w:val="32"/>
          <w:szCs w:val="32"/>
        </w:rPr>
        <w:t>）；</w:t>
      </w:r>
    </w:p>
    <w:p>
      <w:pPr>
        <w:snapToGrid w:val="0"/>
        <w:spacing w:line="360" w:lineRule="auto"/>
        <w:ind w:firstLine="640" w:firstLineChars="200"/>
        <w:rPr>
          <w:rFonts w:ascii="仿宋_GB2312" w:hAnsi="仿宋" w:eastAsia="仿宋_GB2312"/>
          <w:sz w:val="32"/>
        </w:rPr>
      </w:pPr>
      <w:r>
        <w:rPr>
          <w:rFonts w:hint="eastAsia" w:ascii="仿宋_GB2312" w:hAnsi="宋体" w:eastAsia="仿宋_GB2312" w:cs="宋体"/>
          <w:color w:val="000000"/>
          <w:kern w:val="0"/>
          <w:sz w:val="32"/>
          <w:szCs w:val="32"/>
        </w:rPr>
        <w:t>（6）市级科技部门还需提交以下纸质报表（填报系统上打印并加盖公章）：</w:t>
      </w:r>
      <w:r>
        <w:rPr>
          <w:rFonts w:hint="eastAsia" w:ascii="仿宋_GB2312" w:hAnsi="仿宋" w:eastAsia="仿宋_GB2312"/>
          <w:sz w:val="32"/>
        </w:rPr>
        <w:t>辖区内营业收入2亿元以上企业清单；从网络系统打印的所辖范围上市企业清单及审核确认说明；从网络系统打印所辖范围企业当年汇总数据与上年比较清单；对于企业汇总数据出现同比数据变化较大情况（如由于区划调整导致大批企业调整、有新入统或调出统计的大企业、大企业效益急剧变化等原因造成的同比发生较大变化），请提供书面变化原因情况说明；系统中导出的所辖范围内已撤销企业清单（清单信息包含企业名称、所属地域、撤销原因）；系统中提示的错警因说明打印件；系统中导出的所辖范围内未撤销企业错警因说明清单（清单信息包括企业名称、所属地域、错警因内容及错警因说明）。</w:t>
      </w:r>
    </w:p>
    <w:p>
      <w:pPr>
        <w:snapToGrid w:val="0"/>
        <w:spacing w:line="360" w:lineRule="auto"/>
        <w:ind w:firstLine="640" w:firstLineChars="200"/>
        <w:rPr>
          <w:rFonts w:ascii="仿宋_GB2312" w:hAnsi="仿宋" w:eastAsia="仿宋_GB2312"/>
          <w:sz w:val="32"/>
        </w:rPr>
      </w:pPr>
      <w:r>
        <w:rPr>
          <w:rFonts w:hint="eastAsia" w:ascii="楷体" w:hAnsi="楷体" w:eastAsia="楷体" w:cs="楷体"/>
          <w:sz w:val="32"/>
        </w:rPr>
        <w:t>（三）高新技术企业综合统计月报（详见附件三）</w:t>
      </w:r>
    </w:p>
    <w:p>
      <w:pPr>
        <w:snapToGrid w:val="0"/>
        <w:spacing w:line="360" w:lineRule="auto"/>
        <w:ind w:firstLine="640" w:firstLineChars="200"/>
        <w:rPr>
          <w:rFonts w:ascii="仿宋_GB2312" w:hAnsi="仿宋" w:eastAsia="仿宋_GB2312"/>
          <w:sz w:val="32"/>
        </w:rPr>
      </w:pPr>
      <w:r>
        <w:rPr>
          <w:rFonts w:hint="eastAsia" w:ascii="仿宋_GB2312" w:hAnsi="仿宋" w:eastAsia="仿宋_GB2312"/>
          <w:sz w:val="32"/>
        </w:rPr>
        <w:t>经认定的国家级高新技术企业上报2019年5月、2019年8月两批次的月报，填报数据分别为2019年1月1日至2019年5月31日和2019年1月1日至2019年8月31日期间的内容。各设区市科技部门收集汇总企业线下报表数据后，通过火炬统计调查信息系统网络平台（</w:t>
      </w:r>
      <w:r>
        <w:rPr>
          <w:rFonts w:ascii="仿宋_GB2312" w:hAnsi="仿宋" w:eastAsia="仿宋_GB2312"/>
          <w:sz w:val="32"/>
        </w:rPr>
        <w:t>https://tj.chinatorch.gov.cn</w:t>
      </w:r>
      <w:r>
        <w:rPr>
          <w:rFonts w:hint="eastAsia" w:ascii="仿宋_GB2312" w:hAnsi="仿宋" w:eastAsia="仿宋_GB2312"/>
          <w:sz w:val="32"/>
        </w:rPr>
        <w:t>）上报汇总数据并打印纸质报表加盖公章后上报（一式一份）。</w:t>
      </w:r>
    </w:p>
    <w:p>
      <w:pPr>
        <w:wordWrap w:val="0"/>
        <w:snapToGrid w:val="0"/>
        <w:spacing w:line="360" w:lineRule="auto"/>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w:t>
      </w:r>
      <w:r>
        <w:rPr>
          <w:rFonts w:hint="eastAsia" w:ascii="黑体" w:hAnsi="黑体" w:eastAsia="黑体" w:cs="黑体"/>
          <w:color w:val="000000"/>
          <w:kern w:val="0"/>
          <w:sz w:val="32"/>
          <w:szCs w:val="32"/>
          <w:lang w:eastAsia="zh-CN"/>
        </w:rPr>
        <w:t>有关报表</w:t>
      </w:r>
    </w:p>
    <w:p>
      <w:pPr>
        <w:wordWrap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各类统计报表、相关表格及国民经济行业代码等，可在科技部火炬中心网站(</w:t>
      </w:r>
      <w:r>
        <w:fldChar w:fldCharType="begin"/>
      </w:r>
      <w:r>
        <w:instrText xml:space="preserve"> HYPERLINK "http://www.chinatorch.gov.cn" </w:instrText>
      </w:r>
      <w:r>
        <w:fldChar w:fldCharType="separate"/>
      </w:r>
      <w:r>
        <w:rPr>
          <w:rStyle w:val="11"/>
          <w:rFonts w:eastAsia="仿宋_GB2312"/>
          <w:kern w:val="0"/>
          <w:sz w:val="32"/>
          <w:szCs w:val="32"/>
        </w:rPr>
        <w:t>http://www.chinatorch.gov.cn</w:t>
      </w:r>
      <w:r>
        <w:rPr>
          <w:rStyle w:val="11"/>
          <w:rFonts w:eastAsia="仿宋_GB2312"/>
          <w:kern w:val="0"/>
          <w:sz w:val="32"/>
          <w:szCs w:val="32"/>
        </w:rPr>
        <w:fldChar w:fldCharType="end"/>
      </w:r>
      <w:r>
        <w:rPr>
          <w:rFonts w:hint="eastAsia" w:ascii="仿宋_GB2312" w:hAnsi="宋体" w:eastAsia="仿宋_GB2312" w:cs="宋体"/>
          <w:color w:val="000000"/>
          <w:kern w:val="0"/>
          <w:sz w:val="32"/>
          <w:szCs w:val="32"/>
        </w:rPr>
        <w:t>)“专项工作”栏目里下载。</w:t>
      </w:r>
    </w:p>
    <w:p>
      <w:pPr>
        <w:snapToGrid w:val="0"/>
        <w:spacing w:line="360" w:lineRule="auto"/>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w:t>
      </w:r>
      <w:r>
        <w:rPr>
          <w:rFonts w:hint="eastAsia" w:ascii="黑体" w:hAnsi="黑体" w:eastAsia="黑体" w:cs="黑体"/>
          <w:color w:val="000000"/>
          <w:kern w:val="0"/>
          <w:sz w:val="32"/>
          <w:szCs w:val="32"/>
          <w:lang w:eastAsia="zh-CN"/>
        </w:rPr>
        <w:t>联系人</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2018年度火炬统计工作委托省高新技术创业服务中心承办，联系电话：0591-87645521，联系人：杨显奇，王晓芳E-mail:fjcyzxxmk@163.com；省科技厅高新技术与工业科技处联系人：黄绍才，电话：0591-87881286。</w:t>
      </w:r>
    </w:p>
    <w:p>
      <w:pPr>
        <w:snapToGrid w:val="0"/>
        <w:spacing w:line="360" w:lineRule="auto"/>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五、</w:t>
      </w:r>
      <w:r>
        <w:rPr>
          <w:rFonts w:hint="eastAsia" w:ascii="黑体" w:hAnsi="黑体" w:eastAsia="黑体" w:cs="黑体"/>
          <w:color w:val="000000"/>
          <w:kern w:val="0"/>
          <w:sz w:val="32"/>
          <w:szCs w:val="32"/>
          <w:lang w:eastAsia="zh-CN"/>
        </w:rPr>
        <w:t>报送时间</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年报统计纸质报表报送时间：2017年3月20-25日，地点：省高新技术创业服务中心 (福州市工业路611号福建火炬高新技术创业园主楼南区9层907室)。</w:t>
      </w:r>
    </w:p>
    <w:p>
      <w:pPr>
        <w:snapToGrid w:val="0"/>
        <w:spacing w:line="360" w:lineRule="auto"/>
        <w:ind w:firstLine="640" w:firstLineChars="200"/>
        <w:rPr>
          <w:rFonts w:hint="eastAsia" w:ascii="仿宋_GB2312" w:hAnsi="宋体" w:eastAsia="仿宋_GB2312" w:cs="宋体"/>
          <w:color w:val="000000"/>
          <w:kern w:val="0"/>
          <w:sz w:val="32"/>
          <w:szCs w:val="32"/>
        </w:rPr>
      </w:pP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附件：1</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高新技术企业综合统计快报表</w:t>
      </w:r>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2</w:t>
      </w:r>
      <w:bookmarkStart w:id="0" w:name="OLE_LINK2"/>
      <w:bookmarkStart w:id="1" w:name="OLE_LINK3"/>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国家火炬计划特色产业基地名单</w:t>
      </w:r>
      <w:bookmarkEnd w:id="0"/>
      <w:bookmarkEnd w:id="1"/>
    </w:p>
    <w:p>
      <w:pPr>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高新技术企业综合统计月报表</w:t>
      </w:r>
    </w:p>
    <w:p>
      <w:pPr>
        <w:snapToGrid w:val="0"/>
        <w:spacing w:line="360" w:lineRule="auto"/>
        <w:ind w:firstLine="640" w:firstLineChars="200"/>
        <w:rPr>
          <w:rFonts w:ascii="仿宋_GB2312" w:hAnsi="宋体" w:eastAsia="仿宋_GB2312" w:cs="宋体"/>
          <w:color w:val="000000"/>
          <w:kern w:val="0"/>
          <w:sz w:val="32"/>
          <w:szCs w:val="32"/>
        </w:rPr>
      </w:pPr>
    </w:p>
    <w:p>
      <w:pPr>
        <w:snapToGrid w:val="0"/>
        <w:spacing w:line="360" w:lineRule="auto"/>
        <w:ind w:firstLine="640" w:firstLineChars="200"/>
        <w:rPr>
          <w:rFonts w:ascii="仿宋_GB2312" w:hAnsi="宋体" w:eastAsia="仿宋_GB2312" w:cs="宋体"/>
          <w:color w:val="000000"/>
          <w:kern w:val="0"/>
          <w:sz w:val="32"/>
          <w:szCs w:val="32"/>
        </w:rPr>
      </w:pPr>
    </w:p>
    <w:p>
      <w:pPr>
        <w:widowControl/>
        <w:snapToGrid w:val="0"/>
        <w:spacing w:line="360" w:lineRule="auto"/>
        <w:ind w:firstLine="640" w:firstLineChars="200"/>
        <w:rPr>
          <w:rFonts w:ascii="仿宋_GB2312" w:hAnsi="宋体" w:eastAsia="仿宋_GB2312" w:cs="宋体"/>
          <w:color w:val="000000"/>
          <w:kern w:val="0"/>
          <w:sz w:val="32"/>
          <w:szCs w:val="32"/>
        </w:rPr>
      </w:pPr>
    </w:p>
    <w:p>
      <w:pPr>
        <w:widowControl/>
        <w:snapToGrid w:val="0"/>
        <w:spacing w:line="360" w:lineRule="auto"/>
        <w:ind w:right="1280" w:firstLine="640" w:firstLineChars="200"/>
        <w:jc w:val="righ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福建省科学技术厅     </w:t>
      </w:r>
    </w:p>
    <w:p>
      <w:pPr>
        <w:widowControl/>
        <w:snapToGrid w:val="0"/>
        <w:spacing w:line="360" w:lineRule="auto"/>
        <w:ind w:right="1280" w:firstLine="640" w:firstLineChars="200"/>
        <w:jc w:val="center"/>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2"/>
          <w:szCs w:val="32"/>
        </w:rPr>
        <w:t xml:space="preserve">                          201</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年1月</w:t>
      </w:r>
      <w:r>
        <w:rPr>
          <w:rFonts w:hint="eastAsia" w:ascii="仿宋_GB2312" w:hAnsi="宋体" w:eastAsia="仿宋_GB2312" w:cs="宋体"/>
          <w:color w:val="000000"/>
          <w:kern w:val="0"/>
          <w:sz w:val="32"/>
          <w:szCs w:val="32"/>
          <w:lang w:val="en-US" w:eastAsia="zh-CN"/>
        </w:rPr>
        <w:t>8</w:t>
      </w:r>
      <w:bookmarkStart w:id="9" w:name="_GoBack"/>
      <w:bookmarkEnd w:id="9"/>
      <w:r>
        <w:rPr>
          <w:rFonts w:hint="eastAsia" w:ascii="仿宋_GB2312" w:hAnsi="宋体" w:eastAsia="仿宋_GB2312" w:cs="宋体"/>
          <w:color w:val="000000"/>
          <w:kern w:val="0"/>
          <w:sz w:val="32"/>
          <w:szCs w:val="32"/>
        </w:rPr>
        <w:t>日</w:t>
      </w:r>
      <w:r>
        <w:rPr>
          <w:rFonts w:hint="eastAsia" w:ascii="仿宋_GB2312" w:hAnsi="宋体" w:eastAsia="仿宋_GB2312" w:cs="宋体"/>
          <w:color w:val="000000"/>
          <w:kern w:val="0"/>
          <w:sz w:val="30"/>
          <w:szCs w:val="30"/>
        </w:rPr>
        <w:t xml:space="preserve">   </w:t>
      </w:r>
    </w:p>
    <w:p>
      <w:pPr>
        <w:snapToGrid w:val="0"/>
        <w:spacing w:line="360" w:lineRule="auto"/>
        <w:ind w:firstLine="640" w:firstLineChars="20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（此件主动公开）</w:t>
      </w:r>
    </w:p>
    <w:p>
      <w:pPr>
        <w:pStyle w:val="2"/>
        <w:snapToGrid w:val="0"/>
        <w:spacing w:line="360" w:lineRule="auto"/>
        <w:jc w:val="both"/>
        <w:rPr>
          <w:rFonts w:hAnsi="宋体" w:eastAsia="宋体" w:cs="宋体"/>
          <w:b w:val="0"/>
          <w:color w:val="000000"/>
          <w:kern w:val="0"/>
          <w:sz w:val="30"/>
          <w:szCs w:val="30"/>
        </w:rPr>
      </w:pPr>
      <w:r>
        <w:rPr>
          <w:rFonts w:ascii="仿宋_GB2312" w:hAnsi="宋体" w:eastAsia="仿宋_GB2312" w:cs="宋体"/>
          <w:color w:val="000000"/>
          <w:kern w:val="0"/>
          <w:sz w:val="30"/>
          <w:szCs w:val="30"/>
        </w:rPr>
        <w:br w:type="page"/>
      </w:r>
      <w:bookmarkStart w:id="2" w:name="_Toc2289"/>
      <w:bookmarkStart w:id="3" w:name="_Toc951"/>
      <w:bookmarkStart w:id="4" w:name="_Toc8568"/>
      <w:r>
        <w:rPr>
          <w:rFonts w:hint="eastAsia" w:hAnsi="宋体" w:eastAsia="宋体" w:cs="宋体"/>
          <w:b w:val="0"/>
          <w:color w:val="000000"/>
          <w:kern w:val="0"/>
          <w:sz w:val="30"/>
          <w:szCs w:val="30"/>
        </w:rPr>
        <w:t>附件一</w:t>
      </w:r>
    </w:p>
    <w:p>
      <w:pPr>
        <w:widowControl/>
        <w:spacing w:line="280" w:lineRule="atLeast"/>
        <w:ind w:right="450"/>
        <w:jc w:val="center"/>
        <w:rPr>
          <w:rFonts w:ascii="仿宋_GB2312" w:hAnsi="宋体" w:eastAsia="仿宋_GB2312" w:cs="宋体"/>
          <w:color w:val="000000"/>
          <w:kern w:val="0"/>
          <w:sz w:val="32"/>
          <w:szCs w:val="32"/>
        </w:rPr>
      </w:pPr>
      <w:bookmarkStart w:id="5" w:name="_Toc530752901"/>
      <w:bookmarkStart w:id="6" w:name="_Toc525748073"/>
      <w:r>
        <w:rPr>
          <w:rFonts w:hint="eastAsia" w:ascii="仿宋_GB2312" w:hAnsi="宋体" w:eastAsia="仿宋_GB2312" w:cs="宋体"/>
          <w:color w:val="000000"/>
          <w:kern w:val="0"/>
          <w:sz w:val="32"/>
          <w:szCs w:val="32"/>
        </w:rPr>
        <w:t>高新技术企业综合统计快报表</w:t>
      </w:r>
      <w:bookmarkEnd w:id="5"/>
      <w:bookmarkEnd w:id="6"/>
    </w:p>
    <w:p>
      <w:pPr>
        <w:rPr>
          <w:szCs w:val="21"/>
        </w:rPr>
      </w:pPr>
      <w:r>
        <w:rPr>
          <w:rFonts w:ascii="宋体" w:hAnsi="宋体"/>
          <w:sz w:val="18"/>
          <w:szCs w:val="18"/>
        </w:rPr>
        <w:pict>
          <v:rect id="矩形 2" o:spid="_x0000_s1029" o:spt="1" style="position:absolute;left:0pt;margin-left:343.55pt;margin-top:4.65pt;height:63.85pt;width:140.7pt;z-index:25166028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WPa/AIAADwGAAAOAAAAZHJzL2Uyb0RvYy54bWysVMuO0zAU3SPxD5b3mTyaNg9NitpOg5AG&#10;GGlArN3EaSwSO9hu0wHxLUjs+Ag+B/EbXDt9AgsEJFLkG19fn3Pu4/rJrm3QlkrFBM+wf+VhRHkh&#10;SsbXGX79KndijJQmvCSN4DTDD1ThJ9PHj677LqWBqEVTUokgCFdp32W41rpLXVcVNW2JuhId5bBZ&#10;CdkSDaZcu6UkPURvGzfwvInbC1l2UhRUKfh7M2ziqY1fVbTQL6tKUY2aDAM2bb/Sflfm606vSbqW&#10;pKtZsYdB/gJFSxiHS4+hbogmaCPZL6FaVkihRKWvCtG6oqpYQS0HYON7P7G5r0lHLRcQR3VHmdT/&#10;C1u82N5JxMoMBxhx0kKKvn/68u3rZxQYbfpOpeBy391Jw051t6J4qxAXi5rwNZ1JKfqakhIQ+cbf&#10;vThgDAVH0ap/LkoITTZaWJl2lWxNQBAA7Ww2Ho7ZoDuNCvjpR/EkTiBpBezFvu+NRvYKkh5Od1Lp&#10;p1S0yCwyLCHbNjrZ3ipt0JD04GLRi4aVOWsaa8j1atFItCVQGbl99tHVuVvDjTMX5tgQcfhDbW0N&#10;15AUIMPSeBrwNu8fEj8IvXmQOPkkjpwwD8dOEnmx4/nJPJl4YRLe5B8NXD9Ma1aWlN8yTg816Id/&#10;luN9NwzVY6sQ9RlOxsHYKnHBRZ1T9uzzO8ot09CSDWtB9aMTSU2al7wEEUiqCWuGtXsJ32oOGlxK&#10;McvHXhSOYieKxiMnHC09Zx7nC2e28CeTaDlfzJf+pRRLK6/6dzUskEOujCE2wO6+LntUMlM0o3ES&#10;+BgMGApBNPBFpFnDNCu0xEgK/Ybp2raiKVET40LI2DPvXshj9EGI08VnOu25naSCMj0UkO0f0zJD&#10;6+ndageCmz5aifIBOgng2HaBkQuLWsj3GPUwvjKs3m2IpBg1z7jpxtjzQ5h3g2EgApXzndX5DuEF&#10;hMqwxmhYLvQwIzedZOsabvItcS5m0MEVs811QgVUjAEjypLaj1MzA89t63Ua+tMfAAAA//8DAFBL&#10;AwQUAAYACAAAACEA4cQPPd8AAAAJAQAADwAAAGRycy9kb3ducmV2LnhtbEyPMU/DMBCFdyT+g3VI&#10;bNROK9I0xKkQpCx0IIGFzY2vcURsR7Hbhn/PMcF4ep/e+67YznZgZ5xC752EZCGAoWu97l0n4eN9&#10;d5cBC1E5rQbvUMI3BtiW11eFyrW/uBrPTewYlbiQKwkmxjHnPLQGrQoLP6Kj7OgnqyKdU8f1pC5U&#10;bge+FCLlVvWOFowa8clg+9WcrAT+vGzivqqrt5f687U6hsQIvZPy9mZ+fAAWcY5/MPzqkzqU5HTw&#10;J6cDGySk2TohVMJmBYzyTZrdAzsQuFoL4GXB/39Q/gAAAP//AwBQSwECLQAUAAYACAAAACEAtoM4&#10;kv4AAADhAQAAEwAAAAAAAAAAAAAAAAAAAAAAW0NvbnRlbnRfVHlwZXNdLnhtbFBLAQItABQABgAI&#10;AAAAIQA4/SH/1gAAAJQBAAALAAAAAAAAAAAAAAAAAC8BAABfcmVscy8ucmVsc1BLAQItABQABgAI&#10;AAAAIQA3MWPa/AIAADwGAAAOAAAAAAAAAAAAAAAAAC4CAABkcnMvZTJvRG9jLnhtbFBLAQItABQA&#10;BgAIAAAAIQDhxA893wAAAAkBAAAPAAAAAAAAAAAAAAAAAFYFAABkcnMvZG93bnJldi54bWxQSwUG&#10;AAAAAAQABADzAAAAYgYAAAAA&#10;">
            <v:path/>
            <v:fill focussize="0,0"/>
            <v:stroke on="f"/>
            <v:imagedata o:title=""/>
            <o:lock v:ext="edit"/>
            <v:textbox inset="1.41842519685039pt,0.851023622047244pt,1.41842519685039pt,0.851023622047244pt">
              <w:txbxContent>
                <w:p>
                  <w:pPr>
                    <w:spacing w:line="240" w:lineRule="exact"/>
                    <w:rPr>
                      <w:rFonts w:ascii="宋体" w:hAnsi="宋体"/>
                      <w:sz w:val="18"/>
                    </w:rPr>
                  </w:pPr>
                  <w:r>
                    <w:rPr>
                      <w:rFonts w:hint="eastAsia" w:ascii="宋体" w:hAnsi="宋体"/>
                      <w:sz w:val="18"/>
                    </w:rPr>
                    <w:t>表    号</w:t>
                  </w:r>
                  <w:r>
                    <w:rPr>
                      <w:rFonts w:ascii="宋体" w:hAnsi="宋体"/>
                      <w:sz w:val="18"/>
                    </w:rPr>
                    <w:t>：</w:t>
                  </w:r>
                  <w:r>
                    <w:rPr>
                      <w:rFonts w:hint="eastAsia" w:ascii="宋体" w:hAnsi="宋体"/>
                      <w:color w:val="000000"/>
                      <w:sz w:val="18"/>
                    </w:rPr>
                    <w:t>GQKB-01</w:t>
                  </w:r>
                </w:p>
                <w:p>
                  <w:pPr>
                    <w:spacing w:line="240" w:lineRule="exact"/>
                    <w:rPr>
                      <w:rFonts w:ascii="宋体" w:hAnsi="宋体"/>
                      <w:sz w:val="18"/>
                    </w:rPr>
                  </w:pPr>
                  <w:r>
                    <w:rPr>
                      <w:rFonts w:ascii="宋体" w:hAnsi="宋体"/>
                      <w:sz w:val="18"/>
                    </w:rPr>
                    <w:t>制定机关：科学技术部</w:t>
                  </w:r>
                </w:p>
                <w:p>
                  <w:pPr>
                    <w:spacing w:line="240" w:lineRule="exact"/>
                    <w:ind w:right="360"/>
                    <w:rPr>
                      <w:rFonts w:ascii="宋体" w:hAnsi="宋体"/>
                      <w:sz w:val="18"/>
                    </w:rPr>
                  </w:pPr>
                  <w:r>
                    <w:rPr>
                      <w:rFonts w:ascii="宋体" w:hAnsi="宋体"/>
                      <w:sz w:val="18"/>
                    </w:rPr>
                    <w:t>批准机关：国家统计局</w:t>
                  </w:r>
                </w:p>
                <w:p>
                  <w:pPr>
                    <w:spacing w:line="240" w:lineRule="exact"/>
                    <w:ind w:right="360"/>
                    <w:rPr>
                      <w:rFonts w:ascii="宋体" w:hAnsi="宋体"/>
                      <w:sz w:val="18"/>
                    </w:rPr>
                  </w:pPr>
                  <w:r>
                    <w:rPr>
                      <w:rFonts w:ascii="宋体" w:hAnsi="宋体"/>
                      <w:sz w:val="18"/>
                    </w:rPr>
                    <w:t>批准文号：国统</w:t>
                  </w:r>
                  <w:r>
                    <w:rPr>
                      <w:rFonts w:hint="eastAsia" w:ascii="宋体" w:hAnsi="宋体"/>
                      <w:sz w:val="18"/>
                    </w:rPr>
                    <w:t>制</w:t>
                  </w:r>
                </w:p>
                <w:p>
                  <w:pPr>
                    <w:spacing w:line="240" w:lineRule="exact"/>
                    <w:rPr>
                      <w:rFonts w:ascii="宋体" w:hAnsi="宋体"/>
                      <w:sz w:val="18"/>
                    </w:rPr>
                  </w:pPr>
                </w:p>
                <w:p>
                  <w:pPr>
                    <w:spacing w:line="240" w:lineRule="exact"/>
                  </w:pPr>
                </w:p>
              </w:txbxContent>
            </v:textbox>
          </v:rect>
        </w:pict>
      </w:r>
    </w:p>
    <w:p>
      <w:pPr>
        <w:widowControl/>
        <w:spacing w:line="280" w:lineRule="exact"/>
        <w:jc w:val="left"/>
        <w:rPr>
          <w:rFonts w:ascii="宋体"/>
          <w:sz w:val="18"/>
          <w:szCs w:val="20"/>
        </w:rPr>
      </w:pPr>
    </w:p>
    <w:p>
      <w:pPr>
        <w:widowControl/>
        <w:spacing w:line="280" w:lineRule="exact"/>
        <w:jc w:val="left"/>
        <w:rPr>
          <w:rFonts w:ascii="宋体"/>
          <w:sz w:val="18"/>
          <w:szCs w:val="20"/>
        </w:rPr>
      </w:pPr>
    </w:p>
    <w:p>
      <w:pPr>
        <w:widowControl/>
        <w:spacing w:line="280" w:lineRule="exact"/>
        <w:jc w:val="left"/>
        <w:rPr>
          <w:rFonts w:ascii="宋体"/>
          <w:sz w:val="18"/>
          <w:szCs w:val="20"/>
        </w:rPr>
      </w:pPr>
    </w:p>
    <w:p>
      <w:pPr>
        <w:widowControl/>
        <w:spacing w:line="280" w:lineRule="exact"/>
        <w:jc w:val="left"/>
        <w:rPr>
          <w:rFonts w:ascii="宋体"/>
          <w:sz w:val="18"/>
          <w:szCs w:val="20"/>
        </w:rPr>
      </w:pPr>
    </w:p>
    <w:tbl>
      <w:tblPr>
        <w:tblStyle w:val="12"/>
        <w:tblW w:w="909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4"/>
        <w:gridCol w:w="1365"/>
        <w:gridCol w:w="123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5104" w:type="dxa"/>
            <w:tcBorders>
              <w:top w:val="single" w:color="auto" w:sz="8" w:space="0"/>
              <w:left w:val="nil"/>
              <w:bottom w:val="single" w:color="auto" w:sz="4" w:space="0"/>
              <w:right w:val="single" w:color="auto" w:sz="4" w:space="0"/>
            </w:tcBorders>
            <w:vAlign w:val="center"/>
          </w:tcPr>
          <w:p>
            <w:pPr>
              <w:spacing w:line="300" w:lineRule="exact"/>
              <w:jc w:val="center"/>
              <w:rPr>
                <w:rFonts w:ascii="宋体" w:hAnsi="宋体"/>
                <w:sz w:val="18"/>
                <w:szCs w:val="18"/>
              </w:rPr>
            </w:pPr>
            <w:r>
              <w:rPr>
                <w:rFonts w:hint="eastAsia" w:ascii="宋体" w:hAnsi="宋体"/>
                <w:sz w:val="18"/>
                <w:szCs w:val="18"/>
              </w:rPr>
              <w:t>指标名称</w:t>
            </w:r>
          </w:p>
        </w:tc>
        <w:tc>
          <w:tcPr>
            <w:tcW w:w="1365" w:type="dxa"/>
            <w:tcBorders>
              <w:top w:val="single" w:color="auto" w:sz="8" w:space="0"/>
              <w:left w:val="nil"/>
              <w:bottom w:val="single" w:color="auto" w:sz="4" w:space="0"/>
              <w:right w:val="nil"/>
            </w:tcBorders>
            <w:vAlign w:val="center"/>
          </w:tcPr>
          <w:p>
            <w:pPr>
              <w:spacing w:line="240" w:lineRule="exact"/>
              <w:jc w:val="center"/>
              <w:rPr>
                <w:szCs w:val="21"/>
              </w:rPr>
            </w:pPr>
            <w:r>
              <w:rPr>
                <w:rFonts w:hint="eastAsia" w:ascii="宋体" w:hAnsi="宋体"/>
                <w:sz w:val="18"/>
                <w:szCs w:val="18"/>
              </w:rPr>
              <w:t>计量单位</w:t>
            </w:r>
          </w:p>
        </w:tc>
        <w:tc>
          <w:tcPr>
            <w:tcW w:w="1230" w:type="dxa"/>
            <w:tcBorders>
              <w:top w:val="single" w:color="auto" w:sz="8" w:space="0"/>
              <w:left w:val="single" w:color="auto" w:sz="4" w:space="0"/>
              <w:bottom w:val="single" w:color="auto" w:sz="4" w:space="0"/>
              <w:right w:val="nil"/>
            </w:tcBorders>
            <w:vAlign w:val="center"/>
          </w:tcPr>
          <w:p>
            <w:pPr>
              <w:spacing w:line="300" w:lineRule="exact"/>
              <w:jc w:val="center"/>
              <w:rPr>
                <w:rFonts w:ascii="宋体" w:hAnsi="宋体"/>
                <w:sz w:val="18"/>
                <w:szCs w:val="18"/>
              </w:rPr>
            </w:pPr>
            <w:r>
              <w:rPr>
                <w:rFonts w:hint="eastAsia" w:ascii="宋体" w:hAnsi="宋体"/>
                <w:sz w:val="18"/>
                <w:szCs w:val="18"/>
              </w:rPr>
              <w:t>代码</w:t>
            </w:r>
          </w:p>
        </w:tc>
        <w:tc>
          <w:tcPr>
            <w:tcW w:w="1396" w:type="dxa"/>
            <w:tcBorders>
              <w:top w:val="single" w:color="auto" w:sz="8" w:space="0"/>
              <w:left w:val="single" w:color="auto" w:sz="4" w:space="0"/>
              <w:bottom w:val="single" w:color="auto" w:sz="4" w:space="0"/>
              <w:right w:val="nil"/>
            </w:tcBorders>
            <w:vAlign w:val="center"/>
          </w:tcPr>
          <w:p>
            <w:pPr>
              <w:spacing w:line="300" w:lineRule="exact"/>
              <w:jc w:val="center"/>
              <w:rPr>
                <w:rFonts w:ascii="宋体" w:hAnsi="宋体"/>
                <w:sz w:val="18"/>
                <w:szCs w:val="18"/>
              </w:rPr>
            </w:pPr>
            <w:r>
              <w:rPr>
                <w:rFonts w:hint="eastAsia" w:ascii="宋体" w:hAnsi="宋体"/>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trPr>
        <w:tc>
          <w:tcPr>
            <w:tcW w:w="5104" w:type="dxa"/>
            <w:tcBorders>
              <w:top w:val="single" w:color="auto" w:sz="4" w:space="0"/>
              <w:left w:val="nil"/>
              <w:bottom w:val="single" w:color="auto" w:sz="4" w:space="0"/>
              <w:right w:val="single" w:color="auto" w:sz="4" w:space="0"/>
            </w:tcBorders>
            <w:vAlign w:val="center"/>
          </w:tcPr>
          <w:p>
            <w:pPr>
              <w:spacing w:line="280" w:lineRule="exact"/>
              <w:rPr>
                <w:rFonts w:ascii="宋体" w:hAnsi="宋体"/>
                <w:sz w:val="18"/>
                <w:szCs w:val="18"/>
              </w:rPr>
            </w:pPr>
            <w:r>
              <w:rPr>
                <w:rFonts w:hint="eastAsia" w:ascii="宋体" w:hAnsi="宋体"/>
                <w:sz w:val="18"/>
                <w:szCs w:val="18"/>
              </w:rPr>
              <w:t>一、统计的高新技术企业数量（</w:t>
            </w:r>
            <w:r>
              <w:rPr>
                <w:rFonts w:ascii="宋体"/>
                <w:sz w:val="18"/>
                <w:szCs w:val="18"/>
              </w:rPr>
              <w:t>K1A1_0&gt;</w:t>
            </w:r>
            <w:r>
              <w:rPr>
                <w:rFonts w:hint="eastAsia" w:ascii="宋体"/>
                <w:sz w:val="18"/>
                <w:szCs w:val="18"/>
              </w:rPr>
              <w:t>K1A2）</w:t>
            </w:r>
          </w:p>
        </w:tc>
        <w:tc>
          <w:tcPr>
            <w:tcW w:w="1365" w:type="dxa"/>
            <w:tcBorders>
              <w:top w:val="single" w:color="auto" w:sz="4" w:space="0"/>
              <w:left w:val="nil"/>
              <w:bottom w:val="single" w:color="auto" w:sz="4" w:space="0"/>
              <w:right w:val="nil"/>
            </w:tcBorders>
            <w:vAlign w:val="center"/>
          </w:tcPr>
          <w:p>
            <w:pPr>
              <w:spacing w:line="280" w:lineRule="exact"/>
              <w:jc w:val="center"/>
              <w:rPr>
                <w:sz w:val="18"/>
                <w:szCs w:val="18"/>
              </w:rPr>
            </w:pPr>
            <w:r>
              <w:rPr>
                <w:rFonts w:hint="eastAsia" w:ascii="宋体" w:hAnsi="宋体"/>
                <w:sz w:val="18"/>
                <w:szCs w:val="18"/>
              </w:rPr>
              <w:t>家</w:t>
            </w:r>
          </w:p>
        </w:tc>
        <w:tc>
          <w:tcPr>
            <w:tcW w:w="1230" w:type="dxa"/>
            <w:tcBorders>
              <w:top w:val="single" w:color="auto" w:sz="4" w:space="0"/>
              <w:left w:val="single" w:color="auto" w:sz="4" w:space="0"/>
              <w:bottom w:val="single" w:color="auto" w:sz="4" w:space="0"/>
              <w:right w:val="nil"/>
            </w:tcBorders>
            <w:vAlign w:val="center"/>
          </w:tcPr>
          <w:p>
            <w:pPr>
              <w:spacing w:line="280" w:lineRule="exact"/>
              <w:jc w:val="center"/>
              <w:rPr>
                <w:rFonts w:ascii="宋体" w:hAnsi="宋体"/>
                <w:sz w:val="18"/>
                <w:szCs w:val="18"/>
              </w:rPr>
            </w:pPr>
            <w:r>
              <w:rPr>
                <w:rFonts w:ascii="宋体" w:hAnsi="宋体"/>
                <w:sz w:val="18"/>
                <w:szCs w:val="18"/>
              </w:rPr>
              <w:t>K1A1_0</w:t>
            </w:r>
          </w:p>
        </w:tc>
        <w:tc>
          <w:tcPr>
            <w:tcW w:w="1396" w:type="dxa"/>
            <w:tcBorders>
              <w:top w:val="single" w:color="auto" w:sz="4" w:space="0"/>
              <w:left w:val="single" w:color="auto" w:sz="4" w:space="0"/>
              <w:bottom w:val="single" w:color="auto" w:sz="4" w:space="0"/>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5104" w:type="dxa"/>
            <w:tcBorders>
              <w:top w:val="single" w:color="auto" w:sz="4" w:space="0"/>
              <w:left w:val="nil"/>
              <w:bottom w:val="single" w:color="auto" w:sz="4" w:space="0"/>
              <w:right w:val="single" w:color="auto" w:sz="4" w:space="0"/>
            </w:tcBorders>
            <w:vAlign w:val="center"/>
          </w:tcPr>
          <w:p>
            <w:pPr>
              <w:spacing w:line="280" w:lineRule="exact"/>
              <w:rPr>
                <w:rFonts w:ascii="宋体" w:hAnsi="宋体"/>
                <w:sz w:val="18"/>
                <w:szCs w:val="18"/>
              </w:rPr>
            </w:pPr>
            <w:r>
              <w:rPr>
                <w:rFonts w:ascii="宋体" w:hAnsi="宋体"/>
                <w:sz w:val="18"/>
                <w:szCs w:val="18"/>
              </w:rPr>
              <w:t xml:space="preserve">    其中：收入上亿企业</w:t>
            </w:r>
          </w:p>
        </w:tc>
        <w:tc>
          <w:tcPr>
            <w:tcW w:w="1365" w:type="dxa"/>
            <w:tcBorders>
              <w:top w:val="single" w:color="auto" w:sz="4" w:space="0"/>
              <w:left w:val="nil"/>
              <w:bottom w:val="single" w:color="auto" w:sz="4" w:space="0"/>
              <w:right w:val="nil"/>
            </w:tcBorders>
            <w:vAlign w:val="center"/>
          </w:tcPr>
          <w:p>
            <w:pPr>
              <w:spacing w:line="280" w:lineRule="exact"/>
              <w:jc w:val="center"/>
              <w:rPr>
                <w:sz w:val="18"/>
                <w:szCs w:val="18"/>
              </w:rPr>
            </w:pPr>
            <w:r>
              <w:rPr>
                <w:rFonts w:hint="eastAsia" w:ascii="宋体" w:hAnsi="宋体"/>
                <w:sz w:val="18"/>
                <w:szCs w:val="18"/>
              </w:rPr>
              <w:t>家</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ascii="宋体" w:hAnsi="宋体"/>
                <w:sz w:val="18"/>
                <w:szCs w:val="18"/>
              </w:rPr>
              <w:t>K1A2</w:t>
            </w:r>
          </w:p>
        </w:tc>
        <w:tc>
          <w:tcPr>
            <w:tcW w:w="1396" w:type="dxa"/>
            <w:tcBorders>
              <w:top w:val="single" w:color="auto" w:sz="4" w:space="0"/>
              <w:left w:val="nil"/>
              <w:bottom w:val="single" w:color="auto" w:sz="4" w:space="0"/>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5104" w:type="dxa"/>
            <w:tcBorders>
              <w:top w:val="single" w:color="auto" w:sz="4" w:space="0"/>
              <w:left w:val="nil"/>
              <w:bottom w:val="single" w:color="auto" w:sz="4" w:space="0"/>
              <w:right w:val="single" w:color="auto" w:sz="4" w:space="0"/>
            </w:tcBorders>
            <w:vAlign w:val="center"/>
          </w:tcPr>
          <w:p>
            <w:pPr>
              <w:spacing w:line="280" w:lineRule="exact"/>
              <w:rPr>
                <w:rFonts w:ascii="宋体" w:hAnsi="宋体"/>
                <w:sz w:val="18"/>
                <w:szCs w:val="18"/>
              </w:rPr>
            </w:pPr>
            <w:r>
              <w:rPr>
                <w:rFonts w:hint="eastAsia" w:ascii="宋体" w:hAnsi="宋体"/>
                <w:kern w:val="0"/>
                <w:sz w:val="18"/>
                <w:szCs w:val="18"/>
              </w:rPr>
              <w:t>二、统计高企年末从业人员</w:t>
            </w:r>
          </w:p>
        </w:tc>
        <w:tc>
          <w:tcPr>
            <w:tcW w:w="1365" w:type="dxa"/>
            <w:tcBorders>
              <w:top w:val="single" w:color="auto" w:sz="4" w:space="0"/>
              <w:left w:val="nil"/>
              <w:bottom w:val="single" w:color="auto" w:sz="4" w:space="0"/>
              <w:right w:val="nil"/>
            </w:tcBorders>
            <w:vAlign w:val="center"/>
          </w:tcPr>
          <w:p>
            <w:pPr>
              <w:spacing w:line="280" w:lineRule="exact"/>
              <w:jc w:val="center"/>
              <w:rPr>
                <w:sz w:val="18"/>
                <w:szCs w:val="18"/>
              </w:rPr>
            </w:pPr>
            <w:r>
              <w:rPr>
                <w:rFonts w:hint="eastAsia"/>
                <w:sz w:val="18"/>
                <w:szCs w:val="18"/>
              </w:rPr>
              <w:t>人</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ascii="宋体" w:hAnsi="宋体"/>
                <w:kern w:val="0"/>
                <w:sz w:val="18"/>
                <w:szCs w:val="18"/>
              </w:rPr>
              <w:t>K1B</w:t>
            </w:r>
          </w:p>
        </w:tc>
        <w:tc>
          <w:tcPr>
            <w:tcW w:w="1396" w:type="dxa"/>
            <w:tcBorders>
              <w:top w:val="single" w:color="auto" w:sz="4" w:space="0"/>
              <w:left w:val="nil"/>
              <w:bottom w:val="single" w:color="auto" w:sz="4" w:space="0"/>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5104" w:type="dxa"/>
            <w:tcBorders>
              <w:top w:val="single" w:color="auto" w:sz="4" w:space="0"/>
              <w:left w:val="nil"/>
              <w:bottom w:val="single" w:color="auto" w:sz="4" w:space="0"/>
              <w:right w:val="single" w:color="auto" w:sz="4" w:space="0"/>
            </w:tcBorders>
            <w:vAlign w:val="center"/>
          </w:tcPr>
          <w:p>
            <w:pPr>
              <w:spacing w:line="280" w:lineRule="exact"/>
              <w:rPr>
                <w:rFonts w:ascii="宋体" w:hAnsi="宋体"/>
                <w:sz w:val="18"/>
                <w:szCs w:val="18"/>
              </w:rPr>
            </w:pPr>
            <w:r>
              <w:rPr>
                <w:rFonts w:hint="eastAsia" w:ascii="宋体" w:hAnsi="宋体"/>
                <w:sz w:val="18"/>
                <w:szCs w:val="18"/>
              </w:rPr>
              <w:t>三、营业收入（</w:t>
            </w:r>
            <w:r>
              <w:rPr>
                <w:rFonts w:ascii="宋体"/>
                <w:sz w:val="18"/>
                <w:szCs w:val="18"/>
              </w:rPr>
              <w:t>K1C1&gt;</w:t>
            </w:r>
            <w:r>
              <w:rPr>
                <w:rFonts w:hint="eastAsia" w:ascii="宋体"/>
                <w:sz w:val="18"/>
                <w:szCs w:val="18"/>
              </w:rPr>
              <w:t>=K1C2）</w:t>
            </w:r>
          </w:p>
        </w:tc>
        <w:tc>
          <w:tcPr>
            <w:tcW w:w="1365" w:type="dxa"/>
            <w:tcBorders>
              <w:top w:val="single" w:color="auto" w:sz="4" w:space="0"/>
              <w:left w:val="nil"/>
              <w:bottom w:val="single" w:color="auto" w:sz="4" w:space="0"/>
              <w:right w:val="nil"/>
            </w:tcBorders>
            <w:vAlign w:val="center"/>
          </w:tcPr>
          <w:p>
            <w:pPr>
              <w:spacing w:line="280" w:lineRule="exact"/>
              <w:jc w:val="center"/>
              <w:rPr>
                <w:sz w:val="18"/>
                <w:szCs w:val="18"/>
              </w:rPr>
            </w:pPr>
            <w:r>
              <w:rPr>
                <w:rFonts w:hint="eastAsia" w:ascii="宋体" w:hAnsi="宋体"/>
                <w:kern w:val="0"/>
                <w:sz w:val="18"/>
                <w:szCs w:val="18"/>
              </w:rPr>
              <w:t>千元</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ascii="宋体" w:hAnsi="宋体"/>
                <w:kern w:val="0"/>
                <w:sz w:val="18"/>
                <w:szCs w:val="18"/>
              </w:rPr>
              <w:t>K1C1</w:t>
            </w:r>
          </w:p>
        </w:tc>
        <w:tc>
          <w:tcPr>
            <w:tcW w:w="1396" w:type="dxa"/>
            <w:tcBorders>
              <w:top w:val="single" w:color="auto" w:sz="4" w:space="0"/>
              <w:left w:val="nil"/>
              <w:bottom w:val="single" w:color="auto" w:sz="4" w:space="0"/>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5104" w:type="dxa"/>
            <w:tcBorders>
              <w:top w:val="single" w:color="auto" w:sz="4" w:space="0"/>
              <w:left w:val="nil"/>
              <w:bottom w:val="single" w:color="auto" w:sz="4" w:space="0"/>
              <w:right w:val="single" w:color="auto" w:sz="4" w:space="0"/>
            </w:tcBorders>
            <w:vAlign w:val="center"/>
          </w:tcPr>
          <w:p>
            <w:pPr>
              <w:spacing w:line="280" w:lineRule="exact"/>
              <w:rPr>
                <w:rFonts w:ascii="宋体" w:hAnsi="宋体"/>
                <w:sz w:val="18"/>
                <w:szCs w:val="18"/>
              </w:rPr>
            </w:pPr>
            <w:r>
              <w:rPr>
                <w:rFonts w:hint="eastAsia" w:ascii="宋体" w:hAnsi="宋体"/>
                <w:sz w:val="18"/>
                <w:szCs w:val="18"/>
              </w:rPr>
              <w:t>四、出口总额</w:t>
            </w:r>
          </w:p>
        </w:tc>
        <w:tc>
          <w:tcPr>
            <w:tcW w:w="1365" w:type="dxa"/>
            <w:tcBorders>
              <w:top w:val="single" w:color="auto" w:sz="4" w:space="0"/>
              <w:left w:val="nil"/>
              <w:bottom w:val="single" w:color="auto" w:sz="4" w:space="0"/>
              <w:right w:val="nil"/>
            </w:tcBorders>
            <w:vAlign w:val="center"/>
          </w:tcPr>
          <w:p>
            <w:pPr>
              <w:spacing w:line="280" w:lineRule="exact"/>
              <w:jc w:val="center"/>
              <w:rPr>
                <w:b/>
                <w:bCs/>
                <w:sz w:val="18"/>
                <w:szCs w:val="18"/>
              </w:rPr>
            </w:pPr>
            <w:r>
              <w:rPr>
                <w:rFonts w:hint="eastAsia" w:ascii="宋体" w:hAnsi="宋体"/>
                <w:kern w:val="0"/>
                <w:sz w:val="18"/>
                <w:szCs w:val="18"/>
              </w:rPr>
              <w:t>千元</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ascii="宋体" w:hAnsi="宋体"/>
                <w:sz w:val="18"/>
                <w:szCs w:val="18"/>
              </w:rPr>
              <w:t>K1C2</w:t>
            </w:r>
          </w:p>
        </w:tc>
        <w:tc>
          <w:tcPr>
            <w:tcW w:w="1396" w:type="dxa"/>
            <w:tcBorders>
              <w:top w:val="single" w:color="auto" w:sz="4" w:space="0"/>
              <w:left w:val="nil"/>
              <w:bottom w:val="single" w:color="auto" w:sz="4" w:space="0"/>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5104" w:type="dxa"/>
            <w:tcBorders>
              <w:top w:val="single" w:color="auto" w:sz="4" w:space="0"/>
              <w:left w:val="nil"/>
              <w:bottom w:val="single" w:color="auto" w:sz="4" w:space="0"/>
              <w:right w:val="single" w:color="auto" w:sz="4" w:space="0"/>
            </w:tcBorders>
            <w:vAlign w:val="center"/>
          </w:tcPr>
          <w:p>
            <w:pPr>
              <w:spacing w:line="280" w:lineRule="exact"/>
              <w:rPr>
                <w:rFonts w:ascii="宋体" w:hAnsi="宋体"/>
                <w:sz w:val="18"/>
                <w:szCs w:val="18"/>
              </w:rPr>
            </w:pPr>
            <w:r>
              <w:rPr>
                <w:rFonts w:hint="eastAsia" w:ascii="宋体" w:hAnsi="宋体"/>
                <w:sz w:val="18"/>
                <w:szCs w:val="18"/>
              </w:rPr>
              <w:t>五、工业总产值</w:t>
            </w:r>
          </w:p>
        </w:tc>
        <w:tc>
          <w:tcPr>
            <w:tcW w:w="1365" w:type="dxa"/>
            <w:tcBorders>
              <w:top w:val="single" w:color="auto" w:sz="4" w:space="0"/>
              <w:left w:val="nil"/>
              <w:bottom w:val="single" w:color="auto" w:sz="4" w:space="0"/>
              <w:right w:val="nil"/>
            </w:tcBorders>
            <w:vAlign w:val="center"/>
          </w:tcPr>
          <w:p>
            <w:pPr>
              <w:spacing w:line="280" w:lineRule="exact"/>
              <w:jc w:val="center"/>
              <w:rPr>
                <w:sz w:val="18"/>
                <w:szCs w:val="18"/>
              </w:rPr>
            </w:pPr>
            <w:r>
              <w:rPr>
                <w:rFonts w:hint="eastAsia" w:ascii="宋体" w:hAnsi="宋体"/>
                <w:kern w:val="0"/>
                <w:sz w:val="18"/>
                <w:szCs w:val="18"/>
              </w:rPr>
              <w:t>千元</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b/>
                <w:bCs/>
                <w:sz w:val="18"/>
                <w:szCs w:val="18"/>
              </w:rPr>
            </w:pPr>
            <w:r>
              <w:rPr>
                <w:rFonts w:ascii="宋体" w:hAnsi="宋体"/>
                <w:kern w:val="0"/>
                <w:sz w:val="18"/>
                <w:szCs w:val="18"/>
              </w:rPr>
              <w:t>K1D</w:t>
            </w:r>
          </w:p>
        </w:tc>
        <w:tc>
          <w:tcPr>
            <w:tcW w:w="1396" w:type="dxa"/>
            <w:tcBorders>
              <w:top w:val="single" w:color="auto" w:sz="4" w:space="0"/>
              <w:left w:val="nil"/>
              <w:bottom w:val="single" w:color="auto" w:sz="4" w:space="0"/>
              <w:right w:val="nil"/>
            </w:tcBorders>
            <w:vAlign w:val="center"/>
          </w:tcPr>
          <w:p>
            <w:pPr>
              <w:spacing w:line="280" w:lineRule="exact"/>
              <w:jc w:val="center"/>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5104" w:type="dxa"/>
            <w:tcBorders>
              <w:top w:val="single" w:color="auto" w:sz="4" w:space="0"/>
              <w:left w:val="nil"/>
              <w:bottom w:val="single" w:color="auto" w:sz="4" w:space="0"/>
              <w:right w:val="single" w:color="auto" w:sz="4" w:space="0"/>
            </w:tcBorders>
            <w:vAlign w:val="center"/>
          </w:tcPr>
          <w:p>
            <w:pPr>
              <w:spacing w:line="280" w:lineRule="exact"/>
              <w:rPr>
                <w:rFonts w:ascii="宋体" w:hAnsi="宋体"/>
                <w:sz w:val="18"/>
                <w:szCs w:val="18"/>
              </w:rPr>
            </w:pPr>
            <w:r>
              <w:rPr>
                <w:rFonts w:hint="eastAsia" w:ascii="宋体" w:hAnsi="宋体"/>
                <w:sz w:val="18"/>
                <w:szCs w:val="18"/>
              </w:rPr>
              <w:t>六、利润总额</w:t>
            </w:r>
          </w:p>
        </w:tc>
        <w:tc>
          <w:tcPr>
            <w:tcW w:w="1365" w:type="dxa"/>
            <w:tcBorders>
              <w:top w:val="single" w:color="auto" w:sz="4" w:space="0"/>
              <w:left w:val="nil"/>
              <w:bottom w:val="single" w:color="auto" w:sz="4" w:space="0"/>
              <w:right w:val="nil"/>
            </w:tcBorders>
            <w:vAlign w:val="center"/>
          </w:tcPr>
          <w:p>
            <w:pPr>
              <w:spacing w:line="280" w:lineRule="exact"/>
              <w:jc w:val="center"/>
              <w:rPr>
                <w:rFonts w:ascii="宋体" w:hAnsi="宋体"/>
                <w:kern w:val="0"/>
                <w:sz w:val="18"/>
                <w:szCs w:val="18"/>
              </w:rPr>
            </w:pPr>
            <w:r>
              <w:rPr>
                <w:rFonts w:hint="eastAsia" w:ascii="宋体" w:hAnsi="宋体"/>
                <w:kern w:val="0"/>
                <w:sz w:val="18"/>
                <w:szCs w:val="18"/>
              </w:rPr>
              <w:t>千元</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 w:val="18"/>
                <w:szCs w:val="18"/>
              </w:rPr>
            </w:pPr>
            <w:r>
              <w:rPr>
                <w:rFonts w:ascii="宋体" w:hAnsi="宋体"/>
                <w:kern w:val="0"/>
                <w:sz w:val="18"/>
                <w:szCs w:val="18"/>
              </w:rPr>
              <w:t>K2E</w:t>
            </w:r>
          </w:p>
        </w:tc>
        <w:tc>
          <w:tcPr>
            <w:tcW w:w="1396" w:type="dxa"/>
            <w:tcBorders>
              <w:top w:val="single" w:color="auto" w:sz="4" w:space="0"/>
              <w:left w:val="nil"/>
              <w:bottom w:val="single" w:color="auto" w:sz="4" w:space="0"/>
              <w:right w:val="nil"/>
            </w:tcBorders>
            <w:vAlign w:val="center"/>
          </w:tcPr>
          <w:p>
            <w:pPr>
              <w:spacing w:line="280" w:lineRule="exact"/>
              <w:jc w:val="center"/>
              <w:rPr>
                <w:rFonts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5104" w:type="dxa"/>
            <w:tcBorders>
              <w:top w:val="single" w:color="auto" w:sz="4" w:space="0"/>
              <w:left w:val="nil"/>
              <w:bottom w:val="single" w:color="auto" w:sz="4" w:space="0"/>
              <w:right w:val="single" w:color="auto" w:sz="4" w:space="0"/>
            </w:tcBorders>
            <w:vAlign w:val="center"/>
          </w:tcPr>
          <w:p>
            <w:pPr>
              <w:spacing w:line="280" w:lineRule="exact"/>
              <w:rPr>
                <w:rFonts w:ascii="宋体" w:hAnsi="宋体"/>
                <w:sz w:val="18"/>
                <w:szCs w:val="18"/>
              </w:rPr>
            </w:pPr>
            <w:r>
              <w:rPr>
                <w:rFonts w:hint="eastAsia" w:ascii="宋体" w:hAnsi="宋体"/>
                <w:sz w:val="18"/>
                <w:szCs w:val="18"/>
              </w:rPr>
              <w:t>七、净利润</w:t>
            </w:r>
          </w:p>
        </w:tc>
        <w:tc>
          <w:tcPr>
            <w:tcW w:w="1365" w:type="dxa"/>
            <w:tcBorders>
              <w:top w:val="single" w:color="auto" w:sz="4" w:space="0"/>
              <w:left w:val="nil"/>
              <w:bottom w:val="single" w:color="auto" w:sz="4" w:space="0"/>
              <w:right w:val="nil"/>
            </w:tcBorders>
            <w:vAlign w:val="center"/>
          </w:tcPr>
          <w:p>
            <w:pPr>
              <w:spacing w:line="280" w:lineRule="exact"/>
              <w:jc w:val="center"/>
              <w:rPr>
                <w:sz w:val="18"/>
                <w:szCs w:val="18"/>
              </w:rPr>
            </w:pPr>
            <w:r>
              <w:rPr>
                <w:rFonts w:hint="eastAsia" w:ascii="宋体" w:hAnsi="宋体"/>
                <w:kern w:val="0"/>
                <w:sz w:val="18"/>
                <w:szCs w:val="18"/>
              </w:rPr>
              <w:t>千元</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ascii="宋体" w:hAnsi="宋体"/>
                <w:kern w:val="0"/>
                <w:sz w:val="18"/>
                <w:szCs w:val="18"/>
              </w:rPr>
              <w:t>K1E</w:t>
            </w:r>
          </w:p>
        </w:tc>
        <w:tc>
          <w:tcPr>
            <w:tcW w:w="1396" w:type="dxa"/>
            <w:tcBorders>
              <w:top w:val="single" w:color="auto" w:sz="4" w:space="0"/>
              <w:left w:val="nil"/>
              <w:bottom w:val="single" w:color="auto" w:sz="4" w:space="0"/>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5104" w:type="dxa"/>
            <w:tcBorders>
              <w:top w:val="single" w:color="auto" w:sz="4" w:space="0"/>
              <w:left w:val="nil"/>
              <w:bottom w:val="single" w:color="auto" w:sz="4" w:space="0"/>
              <w:right w:val="single" w:color="auto" w:sz="4" w:space="0"/>
            </w:tcBorders>
            <w:vAlign w:val="center"/>
          </w:tcPr>
          <w:p>
            <w:pPr>
              <w:widowControl/>
              <w:spacing w:line="280" w:lineRule="exact"/>
              <w:rPr>
                <w:rFonts w:ascii="宋体" w:hAnsi="宋体"/>
                <w:kern w:val="0"/>
                <w:sz w:val="18"/>
                <w:szCs w:val="18"/>
              </w:rPr>
            </w:pPr>
            <w:r>
              <w:rPr>
                <w:rFonts w:hint="eastAsia" w:ascii="宋体" w:hAnsi="宋体"/>
                <w:kern w:val="0"/>
                <w:sz w:val="18"/>
                <w:szCs w:val="18"/>
              </w:rPr>
              <w:t>八、实际上缴税费总额</w:t>
            </w:r>
          </w:p>
        </w:tc>
        <w:tc>
          <w:tcPr>
            <w:tcW w:w="1365" w:type="dxa"/>
            <w:tcBorders>
              <w:top w:val="single" w:color="auto" w:sz="4" w:space="0"/>
              <w:left w:val="nil"/>
              <w:bottom w:val="single" w:color="auto" w:sz="4" w:space="0"/>
              <w:right w:val="nil"/>
            </w:tcBorders>
            <w:vAlign w:val="center"/>
          </w:tcPr>
          <w:p>
            <w:pPr>
              <w:spacing w:line="280" w:lineRule="exact"/>
              <w:jc w:val="center"/>
              <w:rPr>
                <w:rFonts w:ascii="宋体" w:hAnsi="宋体"/>
                <w:kern w:val="0"/>
                <w:sz w:val="18"/>
                <w:szCs w:val="18"/>
              </w:rPr>
            </w:pPr>
            <w:r>
              <w:rPr>
                <w:rFonts w:hint="eastAsia" w:ascii="宋体" w:hAnsi="宋体"/>
                <w:kern w:val="0"/>
                <w:sz w:val="18"/>
                <w:szCs w:val="18"/>
              </w:rPr>
              <w:t>千元</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 w:val="18"/>
                <w:szCs w:val="18"/>
              </w:rPr>
            </w:pPr>
            <w:r>
              <w:rPr>
                <w:rFonts w:ascii="宋体" w:hAnsi="宋体"/>
                <w:kern w:val="0"/>
                <w:sz w:val="18"/>
                <w:szCs w:val="18"/>
              </w:rPr>
              <w:t>K1F</w:t>
            </w:r>
          </w:p>
        </w:tc>
        <w:tc>
          <w:tcPr>
            <w:tcW w:w="1396" w:type="dxa"/>
            <w:tcBorders>
              <w:top w:val="single" w:color="auto" w:sz="4" w:space="0"/>
              <w:left w:val="nil"/>
              <w:bottom w:val="single" w:color="auto" w:sz="4" w:space="0"/>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5104" w:type="dxa"/>
            <w:tcBorders>
              <w:top w:val="single" w:color="auto" w:sz="4" w:space="0"/>
              <w:left w:val="nil"/>
              <w:bottom w:val="single" w:color="auto" w:sz="4" w:space="0"/>
              <w:right w:val="single" w:color="auto" w:sz="4" w:space="0"/>
            </w:tcBorders>
            <w:vAlign w:val="center"/>
          </w:tcPr>
          <w:p>
            <w:pPr>
              <w:widowControl/>
              <w:spacing w:line="280" w:lineRule="exact"/>
              <w:rPr>
                <w:rFonts w:ascii="宋体" w:hAnsi="宋体"/>
                <w:kern w:val="0"/>
                <w:sz w:val="18"/>
                <w:szCs w:val="18"/>
              </w:rPr>
            </w:pPr>
            <w:r>
              <w:rPr>
                <w:rFonts w:hint="eastAsia" w:ascii="宋体" w:hAnsi="宋体"/>
                <w:kern w:val="0"/>
                <w:sz w:val="18"/>
                <w:szCs w:val="18"/>
              </w:rPr>
              <w:t>九、实际减免税额（</w:t>
            </w:r>
            <w:r>
              <w:rPr>
                <w:rFonts w:ascii="宋体"/>
                <w:sz w:val="18"/>
                <w:szCs w:val="18"/>
              </w:rPr>
              <w:t>K1G&gt;</w:t>
            </w:r>
            <w:r>
              <w:rPr>
                <w:rFonts w:hint="eastAsia" w:ascii="宋体"/>
                <w:sz w:val="18"/>
                <w:szCs w:val="18"/>
              </w:rPr>
              <w:t>KH）</w:t>
            </w:r>
          </w:p>
        </w:tc>
        <w:tc>
          <w:tcPr>
            <w:tcW w:w="1365" w:type="dxa"/>
            <w:tcBorders>
              <w:top w:val="single" w:color="auto" w:sz="4" w:space="0"/>
              <w:left w:val="nil"/>
              <w:bottom w:val="single" w:color="auto" w:sz="4" w:space="0"/>
              <w:right w:val="nil"/>
            </w:tcBorders>
            <w:vAlign w:val="center"/>
          </w:tcPr>
          <w:p>
            <w:pPr>
              <w:spacing w:line="280" w:lineRule="exact"/>
              <w:jc w:val="center"/>
              <w:rPr>
                <w:rFonts w:ascii="宋体" w:hAnsi="宋体"/>
                <w:kern w:val="0"/>
                <w:sz w:val="18"/>
                <w:szCs w:val="18"/>
              </w:rPr>
            </w:pPr>
            <w:r>
              <w:rPr>
                <w:rFonts w:hint="eastAsia" w:ascii="宋体" w:hAnsi="宋体"/>
                <w:kern w:val="0"/>
                <w:sz w:val="18"/>
                <w:szCs w:val="18"/>
              </w:rPr>
              <w:t>千元</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 w:val="18"/>
                <w:szCs w:val="18"/>
              </w:rPr>
            </w:pPr>
            <w:r>
              <w:rPr>
                <w:rFonts w:ascii="宋体" w:hAnsi="宋体"/>
                <w:kern w:val="0"/>
                <w:sz w:val="18"/>
                <w:szCs w:val="18"/>
              </w:rPr>
              <w:t>K1G</w:t>
            </w:r>
          </w:p>
        </w:tc>
        <w:tc>
          <w:tcPr>
            <w:tcW w:w="1396" w:type="dxa"/>
            <w:tcBorders>
              <w:top w:val="single" w:color="auto" w:sz="4" w:space="0"/>
              <w:left w:val="nil"/>
              <w:bottom w:val="single" w:color="auto" w:sz="4" w:space="0"/>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5104" w:type="dxa"/>
            <w:tcBorders>
              <w:top w:val="single" w:color="auto" w:sz="4" w:space="0"/>
              <w:left w:val="nil"/>
              <w:bottom w:val="single" w:color="auto" w:sz="2" w:space="0"/>
              <w:right w:val="single" w:color="auto" w:sz="2" w:space="0"/>
            </w:tcBorders>
            <w:vAlign w:val="center"/>
          </w:tcPr>
          <w:p>
            <w:pPr>
              <w:widowControl/>
              <w:spacing w:line="280" w:lineRule="exact"/>
              <w:rPr>
                <w:rFonts w:ascii="宋体" w:hAnsi="宋体"/>
                <w:kern w:val="0"/>
                <w:sz w:val="18"/>
                <w:szCs w:val="18"/>
              </w:rPr>
            </w:pPr>
            <w:r>
              <w:rPr>
                <w:rFonts w:ascii="宋体" w:hAnsi="宋体"/>
                <w:kern w:val="0"/>
                <w:sz w:val="18"/>
                <w:szCs w:val="18"/>
              </w:rPr>
              <w:t xml:space="preserve">    其中：享受高企政策减免所得税</w:t>
            </w:r>
          </w:p>
        </w:tc>
        <w:tc>
          <w:tcPr>
            <w:tcW w:w="1365" w:type="dxa"/>
            <w:tcBorders>
              <w:top w:val="single" w:color="auto" w:sz="4" w:space="0"/>
              <w:left w:val="single" w:color="auto" w:sz="2" w:space="0"/>
              <w:bottom w:val="single" w:color="auto" w:sz="2" w:space="0"/>
              <w:right w:val="single" w:color="auto" w:sz="2" w:space="0"/>
            </w:tcBorders>
            <w:vAlign w:val="center"/>
          </w:tcPr>
          <w:p>
            <w:pPr>
              <w:spacing w:line="280" w:lineRule="exact"/>
              <w:jc w:val="center"/>
              <w:rPr>
                <w:rFonts w:ascii="宋体" w:hAnsi="宋体"/>
                <w:kern w:val="0"/>
                <w:sz w:val="18"/>
                <w:szCs w:val="18"/>
              </w:rPr>
            </w:pPr>
            <w:r>
              <w:rPr>
                <w:rFonts w:hint="eastAsia" w:ascii="宋体" w:hAnsi="宋体"/>
                <w:kern w:val="0"/>
                <w:sz w:val="18"/>
                <w:szCs w:val="18"/>
              </w:rPr>
              <w:t>千元</w:t>
            </w:r>
          </w:p>
        </w:tc>
        <w:tc>
          <w:tcPr>
            <w:tcW w:w="1230" w:type="dxa"/>
            <w:tcBorders>
              <w:top w:val="single" w:color="auto" w:sz="4" w:space="0"/>
              <w:left w:val="single" w:color="auto" w:sz="2" w:space="0"/>
              <w:bottom w:val="single" w:color="auto" w:sz="2" w:space="0"/>
              <w:right w:val="single" w:color="auto" w:sz="2" w:space="0"/>
            </w:tcBorders>
            <w:vAlign w:val="center"/>
          </w:tcPr>
          <w:p>
            <w:pPr>
              <w:spacing w:line="280" w:lineRule="exact"/>
              <w:jc w:val="center"/>
              <w:rPr>
                <w:rFonts w:ascii="宋体" w:hAnsi="宋体"/>
                <w:kern w:val="0"/>
                <w:sz w:val="18"/>
                <w:szCs w:val="18"/>
              </w:rPr>
            </w:pPr>
            <w:r>
              <w:rPr>
                <w:rFonts w:ascii="宋体" w:hAnsi="宋体"/>
                <w:kern w:val="0"/>
                <w:sz w:val="18"/>
                <w:szCs w:val="18"/>
              </w:rPr>
              <w:t>KH</w:t>
            </w:r>
          </w:p>
        </w:tc>
        <w:tc>
          <w:tcPr>
            <w:tcW w:w="1396" w:type="dxa"/>
            <w:tcBorders>
              <w:top w:val="single" w:color="auto" w:sz="4" w:space="0"/>
              <w:left w:val="single" w:color="auto" w:sz="2" w:space="0"/>
              <w:bottom w:val="single" w:color="auto" w:sz="2" w:space="0"/>
              <w:right w:val="nil"/>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095" w:type="dxa"/>
            <w:gridSpan w:val="4"/>
            <w:tcBorders>
              <w:top w:val="single" w:color="auto" w:sz="2" w:space="0"/>
              <w:left w:val="nil"/>
              <w:bottom w:val="single" w:color="auto" w:sz="8" w:space="0"/>
              <w:right w:val="nil"/>
            </w:tcBorders>
            <w:vAlign w:val="center"/>
          </w:tcPr>
          <w:p>
            <w:pPr>
              <w:snapToGrid w:val="0"/>
              <w:spacing w:line="280" w:lineRule="exact"/>
              <w:jc w:val="left"/>
              <w:rPr>
                <w:rFonts w:ascii="宋体" w:hAnsi="宋体" w:cs="宋体"/>
                <w:sz w:val="18"/>
              </w:rPr>
            </w:pPr>
            <w:r>
              <w:rPr>
                <w:rFonts w:hint="eastAsia" w:ascii="宋体"/>
                <w:sz w:val="18"/>
              </w:rPr>
              <w:t>填报单位地址：                                         邮编</w:t>
            </w:r>
            <w:r>
              <w:rPr>
                <w:sz w:val="18"/>
                <w:szCs w:val="18"/>
              </w:rPr>
              <w:t>(sPost)</w:t>
            </w:r>
            <w:r>
              <w:rPr>
                <w:rFonts w:hint="eastAsia" w:ascii="宋体"/>
                <w:sz w:val="18"/>
              </w:rPr>
              <w:t>：</w:t>
            </w:r>
            <w:r>
              <w:rPr>
                <w:rFonts w:hint="eastAsia" w:ascii="宋体" w:hAnsi="宋体" w:cs="宋体"/>
                <w:sz w:val="18"/>
              </w:rPr>
              <w:t xml:space="preserve"> </w:t>
            </w:r>
          </w:p>
          <w:p>
            <w:pPr>
              <w:snapToGrid w:val="0"/>
              <w:spacing w:line="280" w:lineRule="exact"/>
              <w:jc w:val="left"/>
              <w:rPr>
                <w:rFonts w:ascii="宋体" w:hAnsi="宋体" w:cs="宋体"/>
                <w:sz w:val="18"/>
              </w:rPr>
            </w:pPr>
            <w:r>
              <w:rPr>
                <w:rFonts w:hint="eastAsia" w:ascii="宋体" w:hAnsi="宋体" w:cs="宋体"/>
                <w:sz w:val="18"/>
              </w:rPr>
              <w:t>联系电话：                                                  传真：</w:t>
            </w:r>
          </w:p>
        </w:tc>
      </w:tr>
    </w:tbl>
    <w:p>
      <w:pPr>
        <w:snapToGrid w:val="0"/>
        <w:spacing w:line="280" w:lineRule="exact"/>
        <w:ind w:firstLine="270" w:firstLineChars="150"/>
        <w:jc w:val="left"/>
        <w:rPr>
          <w:sz w:val="18"/>
          <w:szCs w:val="20"/>
        </w:rPr>
      </w:pPr>
      <w:r>
        <w:rPr>
          <w:rFonts w:hint="eastAsia"/>
          <w:sz w:val="18"/>
          <w:szCs w:val="20"/>
        </w:rPr>
        <w:t>单位负责人：                                   填表人</w:t>
      </w:r>
      <w:r>
        <w:rPr>
          <w:sz w:val="18"/>
          <w:szCs w:val="20"/>
        </w:rPr>
        <w:t xml:space="preserve">:                   </w:t>
      </w:r>
      <w:r>
        <w:rPr>
          <w:rFonts w:hint="eastAsia"/>
          <w:sz w:val="18"/>
          <w:szCs w:val="20"/>
        </w:rPr>
        <w:t>报出日期</w:t>
      </w:r>
      <w:r>
        <w:rPr>
          <w:sz w:val="18"/>
          <w:szCs w:val="20"/>
        </w:rPr>
        <w:t xml:space="preserve">:20  </w:t>
      </w:r>
      <w:r>
        <w:rPr>
          <w:rFonts w:hint="eastAsia"/>
          <w:sz w:val="18"/>
          <w:szCs w:val="20"/>
        </w:rPr>
        <w:t>年 月 日</w:t>
      </w:r>
    </w:p>
    <w:p>
      <w:pPr>
        <w:rPr>
          <w:rFonts w:ascii="宋体"/>
          <w:szCs w:val="21"/>
        </w:rPr>
      </w:pPr>
    </w:p>
    <w:p>
      <w:pPr>
        <w:spacing w:line="280" w:lineRule="exact"/>
        <w:rPr>
          <w:rFonts w:ascii="宋体" w:hAnsi="宋体"/>
          <w:kern w:val="0"/>
          <w:sz w:val="18"/>
          <w:szCs w:val="18"/>
        </w:rPr>
      </w:pPr>
      <w:r>
        <w:rPr>
          <w:rFonts w:hint="eastAsia" w:ascii="宋体"/>
          <w:sz w:val="18"/>
        </w:rPr>
        <w:t>说明：</w:t>
      </w:r>
      <w:r>
        <w:rPr>
          <w:rFonts w:ascii="宋体" w:hAnsi="宋体"/>
          <w:kern w:val="0"/>
          <w:sz w:val="18"/>
          <w:szCs w:val="18"/>
        </w:rPr>
        <w:t>1.</w:t>
      </w:r>
      <w:r>
        <w:rPr>
          <w:rFonts w:hint="eastAsia" w:ascii="宋体" w:hAnsi="宋体"/>
          <w:kern w:val="0"/>
          <w:sz w:val="18"/>
          <w:szCs w:val="18"/>
        </w:rPr>
        <w:t>本表填报2018年</w:t>
      </w:r>
      <w:r>
        <w:rPr>
          <w:rFonts w:ascii="宋体" w:hAnsi="宋体"/>
          <w:kern w:val="0"/>
          <w:sz w:val="18"/>
          <w:szCs w:val="18"/>
        </w:rPr>
        <w:t>1月1日至12月31日情况。</w:t>
      </w:r>
    </w:p>
    <w:p>
      <w:pPr>
        <w:adjustRightInd w:val="0"/>
        <w:spacing w:line="280" w:lineRule="exact"/>
        <w:ind w:left="525" w:leftChars="250"/>
        <w:rPr>
          <w:rFonts w:ascii="宋体"/>
          <w:sz w:val="18"/>
        </w:rPr>
      </w:pPr>
      <w:r>
        <w:rPr>
          <w:rFonts w:ascii="宋体" w:hAnsi="宋体"/>
          <w:kern w:val="0"/>
          <w:sz w:val="18"/>
          <w:szCs w:val="18"/>
        </w:rPr>
        <w:t>2.</w:t>
      </w:r>
      <w:r>
        <w:rPr>
          <w:rFonts w:hint="eastAsia" w:ascii="宋体" w:hAnsi="宋体"/>
          <w:kern w:val="0"/>
          <w:sz w:val="18"/>
          <w:szCs w:val="18"/>
        </w:rPr>
        <w:t>填报范围</w:t>
      </w:r>
      <w:r>
        <w:rPr>
          <w:rFonts w:ascii="宋体" w:hAnsi="宋体"/>
          <w:kern w:val="0"/>
          <w:sz w:val="18"/>
          <w:szCs w:val="18"/>
        </w:rPr>
        <w:t>：截止</w:t>
      </w:r>
      <w:r>
        <w:rPr>
          <w:rFonts w:hint="eastAsia" w:ascii="宋体" w:hAnsi="宋体"/>
          <w:kern w:val="0"/>
          <w:sz w:val="18"/>
          <w:szCs w:val="18"/>
        </w:rPr>
        <w:t>2018年底高新技术企业证书尚在有效期内的高新技术企业及2018年当年已公示的高新技术企业综合</w:t>
      </w:r>
      <w:r>
        <w:rPr>
          <w:rFonts w:ascii="宋体" w:hAnsi="宋体"/>
          <w:kern w:val="0"/>
          <w:sz w:val="18"/>
          <w:szCs w:val="18"/>
        </w:rPr>
        <w:t>情况。</w:t>
      </w:r>
    </w:p>
    <w:p>
      <w:pPr>
        <w:adjustRightInd w:val="0"/>
        <w:spacing w:line="280" w:lineRule="exact"/>
        <w:ind w:left="525" w:leftChars="250"/>
        <w:rPr>
          <w:rFonts w:ascii="宋体"/>
          <w:sz w:val="18"/>
        </w:rPr>
      </w:pPr>
      <w:r>
        <w:rPr>
          <w:rFonts w:ascii="宋体"/>
          <w:kern w:val="0"/>
          <w:sz w:val="18"/>
          <w:szCs w:val="21"/>
        </w:rPr>
        <w:t>3.</w:t>
      </w:r>
      <w:r>
        <w:rPr>
          <w:rFonts w:hint="eastAsia" w:ascii="宋体"/>
          <w:sz w:val="18"/>
        </w:rPr>
        <w:t>报送日期及方式：本表加盖公章后务必于2019年1月</w:t>
      </w:r>
      <w:r>
        <w:rPr>
          <w:rFonts w:ascii="宋体"/>
          <w:sz w:val="18"/>
        </w:rPr>
        <w:t>2</w:t>
      </w:r>
      <w:r>
        <w:rPr>
          <w:rFonts w:hint="eastAsia" w:ascii="宋体"/>
          <w:sz w:val="18"/>
        </w:rPr>
        <w:t>0日前提交到各市科技局，市科技局汇总后报送至省科技厅。</w:t>
      </w:r>
    </w:p>
    <w:p>
      <w:pPr>
        <w:adjustRightInd w:val="0"/>
        <w:spacing w:line="280" w:lineRule="exact"/>
        <w:ind w:left="525" w:leftChars="250"/>
        <w:rPr>
          <w:rFonts w:ascii="宋体"/>
          <w:sz w:val="18"/>
        </w:rPr>
      </w:pPr>
      <w:r>
        <w:rPr>
          <w:rFonts w:ascii="宋体"/>
          <w:sz w:val="18"/>
        </w:rPr>
        <w:t>4.</w:t>
      </w:r>
      <w:r>
        <w:rPr>
          <w:rFonts w:hint="eastAsia" w:ascii="宋体"/>
          <w:sz w:val="18"/>
        </w:rPr>
        <w:t>审核</w:t>
      </w:r>
      <w:r>
        <w:rPr>
          <w:rFonts w:ascii="宋体" w:hAnsi="宋体"/>
          <w:kern w:val="0"/>
          <w:sz w:val="18"/>
          <w:szCs w:val="18"/>
        </w:rPr>
        <w:t>关系</w:t>
      </w:r>
      <w:r>
        <w:rPr>
          <w:rFonts w:hint="eastAsia" w:ascii="宋体" w:hAnsi="宋体"/>
          <w:kern w:val="0"/>
          <w:sz w:val="18"/>
          <w:szCs w:val="18"/>
        </w:rPr>
        <w:t>：</w:t>
      </w:r>
      <w:r>
        <w:rPr>
          <w:rFonts w:hint="eastAsia" w:ascii="宋体"/>
          <w:sz w:val="18"/>
        </w:rPr>
        <w:t>（1）</w:t>
      </w:r>
      <w:r>
        <w:rPr>
          <w:rFonts w:ascii="宋体"/>
          <w:sz w:val="18"/>
        </w:rPr>
        <w:t>K1A1</w:t>
      </w:r>
      <w:r>
        <w:rPr>
          <w:rFonts w:ascii="宋体" w:hAnsi="宋体"/>
          <w:sz w:val="18"/>
          <w:szCs w:val="18"/>
        </w:rPr>
        <w:t>_0</w:t>
      </w:r>
      <w:r>
        <w:rPr>
          <w:rFonts w:ascii="宋体"/>
          <w:sz w:val="18"/>
        </w:rPr>
        <w:t>&gt;</w:t>
      </w:r>
      <w:r>
        <w:rPr>
          <w:rFonts w:ascii="宋体" w:hAnsi="宋体"/>
          <w:kern w:val="0"/>
          <w:sz w:val="18"/>
          <w:szCs w:val="18"/>
        </w:rPr>
        <w:t>K1A2</w:t>
      </w:r>
      <w:r>
        <w:rPr>
          <w:rFonts w:hint="eastAsia" w:ascii="宋体"/>
          <w:sz w:val="18"/>
        </w:rPr>
        <w:t xml:space="preserve">     （2）</w:t>
      </w:r>
      <w:r>
        <w:rPr>
          <w:rFonts w:ascii="宋体"/>
          <w:sz w:val="18"/>
        </w:rPr>
        <w:t xml:space="preserve">K1C1&gt;=K1C2      </w:t>
      </w:r>
      <w:r>
        <w:rPr>
          <w:rFonts w:hint="eastAsia" w:ascii="宋体"/>
          <w:sz w:val="18"/>
        </w:rPr>
        <w:t>（3）K2E</w:t>
      </w:r>
      <w:r>
        <w:rPr>
          <w:rFonts w:ascii="宋体"/>
          <w:sz w:val="18"/>
        </w:rPr>
        <w:t>&gt;=K1E        (4)K1G&gt;KH</w:t>
      </w:r>
    </w:p>
    <w:p>
      <w:pPr>
        <w:spacing w:line="280" w:lineRule="exact"/>
        <w:ind w:firstLine="450"/>
        <w:rPr>
          <w:rFonts w:ascii="宋体"/>
          <w:sz w:val="18"/>
          <w:szCs w:val="18"/>
        </w:rPr>
      </w:pPr>
    </w:p>
    <w:p>
      <w:pPr>
        <w:spacing w:line="280" w:lineRule="exact"/>
        <w:ind w:right="360" w:firstLine="5528" w:firstLineChars="3071"/>
        <w:jc w:val="left"/>
        <w:rPr>
          <w:rFonts w:ascii="宋体"/>
          <w:sz w:val="18"/>
          <w:szCs w:val="18"/>
        </w:rPr>
      </w:pPr>
      <w:r>
        <w:rPr>
          <w:rFonts w:hint="eastAsia" w:ascii="宋体" w:hAnsi="宋体"/>
          <w:sz w:val="18"/>
          <w:szCs w:val="18"/>
        </w:rPr>
        <w:t>领导签字（</w:t>
      </w:r>
      <w:r>
        <w:rPr>
          <w:rFonts w:hint="eastAsia" w:ascii="宋体"/>
          <w:sz w:val="18"/>
          <w:szCs w:val="18"/>
        </w:rPr>
        <w:t xml:space="preserve">Charger）： </w:t>
      </w:r>
    </w:p>
    <w:p>
      <w:pPr>
        <w:spacing w:line="280" w:lineRule="exact"/>
        <w:ind w:right="360" w:firstLine="5528" w:firstLineChars="3071"/>
        <w:jc w:val="left"/>
        <w:rPr>
          <w:rFonts w:ascii="宋体"/>
          <w:sz w:val="18"/>
          <w:szCs w:val="18"/>
        </w:rPr>
      </w:pPr>
    </w:p>
    <w:p>
      <w:pPr>
        <w:spacing w:line="280" w:lineRule="exact"/>
        <w:ind w:right="360" w:firstLine="5528" w:firstLineChars="3071"/>
        <w:jc w:val="left"/>
        <w:rPr>
          <w:rFonts w:ascii="宋体" w:hAnsi="宋体"/>
          <w:sz w:val="18"/>
          <w:szCs w:val="18"/>
        </w:rPr>
      </w:pPr>
      <w:r>
        <w:rPr>
          <w:rFonts w:hint="eastAsia" w:ascii="宋体" w:hAnsi="宋体"/>
          <w:sz w:val="18"/>
          <w:szCs w:val="18"/>
        </w:rPr>
        <w:t>填报单位名称：</w:t>
      </w:r>
    </w:p>
    <w:p>
      <w:pPr>
        <w:spacing w:line="280" w:lineRule="exact"/>
        <w:ind w:right="360" w:firstLine="5528" w:firstLineChars="3071"/>
        <w:jc w:val="left"/>
        <w:rPr>
          <w:rFonts w:ascii="宋体"/>
          <w:sz w:val="18"/>
          <w:szCs w:val="18"/>
        </w:rPr>
      </w:pPr>
      <w:r>
        <w:rPr>
          <w:rFonts w:hint="eastAsia" w:ascii="宋体" w:hAnsi="宋体"/>
          <w:sz w:val="18"/>
          <w:szCs w:val="18"/>
        </w:rPr>
        <w:t>（加盖公章</w:t>
      </w:r>
      <w:r>
        <w:rPr>
          <w:rFonts w:ascii="宋体"/>
          <w:sz w:val="18"/>
          <w:szCs w:val="18"/>
        </w:rPr>
        <w:t xml:space="preserve"> )</w:t>
      </w:r>
    </w:p>
    <w:p>
      <w:pPr>
        <w:pStyle w:val="5"/>
        <w:ind w:right="360" w:firstLine="5978" w:firstLineChars="3321"/>
        <w:jc w:val="left"/>
        <w:rPr>
          <w:color w:val="auto"/>
          <w:szCs w:val="18"/>
        </w:rPr>
      </w:pPr>
      <w:r>
        <w:rPr>
          <w:rFonts w:hint="eastAsia"/>
          <w:color w:val="auto"/>
          <w:szCs w:val="18"/>
        </w:rPr>
        <w:t>年    月   日</w:t>
      </w:r>
    </w:p>
    <w:p>
      <w:pPr>
        <w:pStyle w:val="4"/>
        <w:rPr>
          <w:b w:val="0"/>
          <w:sz w:val="28"/>
          <w:szCs w:val="28"/>
        </w:rPr>
      </w:pPr>
      <w:r>
        <w:rPr>
          <w:szCs w:val="18"/>
        </w:rPr>
        <w:br w:type="page"/>
      </w:r>
      <w:r>
        <w:rPr>
          <w:rFonts w:hint="eastAsia"/>
          <w:b w:val="0"/>
        </w:rPr>
        <w:t>表GQKB-01指标</w:t>
      </w:r>
      <w:r>
        <w:rPr>
          <w:b w:val="0"/>
        </w:rPr>
        <w:t>解释</w:t>
      </w:r>
    </w:p>
    <w:p>
      <w:pPr>
        <w:spacing w:line="400" w:lineRule="exact"/>
        <w:ind w:firstLine="420" w:firstLineChars="200"/>
        <w:rPr>
          <w:rFonts w:ascii="宋体" w:hAnsi="宋体"/>
          <w:szCs w:val="21"/>
        </w:rPr>
      </w:pPr>
      <w:r>
        <w:rPr>
          <w:rFonts w:hint="eastAsia" w:ascii="黑体" w:hAnsi="黑体" w:eastAsia="黑体"/>
          <w:szCs w:val="21"/>
        </w:rPr>
        <w:t>高新技术企业</w:t>
      </w:r>
      <w:r>
        <w:rPr>
          <w:rFonts w:ascii="宋体" w:hAnsi="宋体"/>
          <w:szCs w:val="21"/>
        </w:rPr>
        <w:t xml:space="preserve"> 是指经各地方高新技术企业认定管理机构认定，并经全国高新技术企业认定管理工作领导小组备案，</w:t>
      </w:r>
      <w:r>
        <w:rPr>
          <w:rFonts w:hint="eastAsia" w:ascii="宋体" w:hAnsi="宋体"/>
          <w:szCs w:val="21"/>
        </w:rPr>
        <w:t>获得高新技术企业证书，且证书于报告期年底尚在有效期内的高新技术企业。</w:t>
      </w:r>
    </w:p>
    <w:p>
      <w:pPr>
        <w:spacing w:line="400" w:lineRule="exact"/>
        <w:ind w:firstLine="420" w:firstLineChars="200"/>
        <w:rPr>
          <w:rFonts w:ascii="宋体" w:hAnsi="宋体"/>
          <w:szCs w:val="21"/>
        </w:rPr>
      </w:pPr>
      <w:r>
        <w:rPr>
          <w:rFonts w:hint="eastAsia" w:ascii="黑体" w:hAnsi="黑体" w:eastAsia="黑体"/>
          <w:szCs w:val="21"/>
        </w:rPr>
        <w:t>年末从业人员</w:t>
      </w:r>
      <w:r>
        <w:rPr>
          <w:rFonts w:ascii="宋体" w:hAnsi="宋体"/>
          <w:szCs w:val="21"/>
        </w:rPr>
        <w:t xml:space="preserve">  指期末最后一日24时在本单位中工作，并取得工资或其他形式劳动报酬的人员数。该指标为时点指标，不包括最后一日当天及以前已经与单位解除劳动合同关系的人员，是在岗职工、劳务派遣人员及其他从业人员之和。从业人员不包括：</w:t>
      </w:r>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1）离开本单位仍保留劳动关系，并定期领取生活费的人员；</w:t>
      </w:r>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 xml:space="preserve">2）利用课余时间打工的学生及在本单位实习的各类在校学生； </w:t>
      </w:r>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3）本单位因劳务外包而使用的人员，如：建筑业整建制使用的人员。</w:t>
      </w:r>
    </w:p>
    <w:p>
      <w:pPr>
        <w:spacing w:line="400" w:lineRule="exact"/>
        <w:ind w:firstLine="420" w:firstLineChars="200"/>
        <w:rPr>
          <w:rFonts w:ascii="宋体" w:hAnsi="宋体"/>
          <w:szCs w:val="21"/>
        </w:rPr>
      </w:pPr>
      <w:r>
        <w:rPr>
          <w:rFonts w:hint="eastAsia" w:ascii="黑体" w:hAnsi="黑体" w:eastAsia="黑体"/>
          <w:szCs w:val="21"/>
        </w:rPr>
        <w:t>工业总产值</w:t>
      </w:r>
      <w:r>
        <w:rPr>
          <w:rFonts w:ascii="宋体" w:hAnsi="宋体"/>
          <w:szCs w:val="21"/>
        </w:rPr>
        <w:t xml:space="preserve"> 指工业企业在报告期内生产的以货币形式表现的工业最终产品和提供工业劳务活动的总价值量。</w:t>
      </w:r>
    </w:p>
    <w:p>
      <w:pPr>
        <w:spacing w:line="400" w:lineRule="exact"/>
        <w:ind w:firstLine="420" w:firstLineChars="200"/>
        <w:rPr>
          <w:rFonts w:ascii="宋体" w:hAnsi="宋体"/>
          <w:szCs w:val="21"/>
        </w:rPr>
      </w:pPr>
      <w:r>
        <w:rPr>
          <w:rFonts w:hint="eastAsia" w:ascii="黑体" w:hAnsi="黑体" w:eastAsia="黑体"/>
          <w:szCs w:val="21"/>
        </w:rPr>
        <w:t>营业收入</w:t>
      </w:r>
      <w:r>
        <w:rPr>
          <w:rFonts w:ascii="宋体" w:hAnsi="宋体"/>
          <w:szCs w:val="21"/>
        </w:rPr>
        <w:t xml:space="preserve"> 指企业经营主要业务和其他业务所确认的收入总额。营业收入合计包括“主营业务收入”和“其他业务收入”。根据会计“利润表”中“营业收入”项目的本期金额数填报。</w:t>
      </w:r>
    </w:p>
    <w:p>
      <w:pPr>
        <w:spacing w:line="400" w:lineRule="exact"/>
        <w:ind w:firstLine="420" w:firstLineChars="200"/>
        <w:rPr>
          <w:rFonts w:ascii="宋体" w:hAnsi="宋体"/>
          <w:szCs w:val="21"/>
        </w:rPr>
      </w:pPr>
      <w:r>
        <w:rPr>
          <w:rFonts w:hint="eastAsia" w:ascii="黑体" w:hAnsi="黑体" w:eastAsia="黑体"/>
          <w:szCs w:val="21"/>
        </w:rPr>
        <w:t>利润总额</w:t>
      </w:r>
      <w:r>
        <w:rPr>
          <w:rFonts w:hint="eastAsia" w:ascii="宋体" w:hAnsi="宋体"/>
          <w:szCs w:val="21"/>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pPr>
        <w:spacing w:line="400" w:lineRule="exact"/>
        <w:ind w:firstLine="420" w:firstLineChars="200"/>
        <w:rPr>
          <w:rFonts w:ascii="宋体" w:hAnsi="宋体"/>
          <w:szCs w:val="21"/>
        </w:rPr>
      </w:pPr>
      <w:r>
        <w:rPr>
          <w:rFonts w:hint="eastAsia" w:ascii="黑体" w:hAnsi="黑体" w:eastAsia="黑体"/>
          <w:szCs w:val="21"/>
        </w:rPr>
        <w:t>净利润</w:t>
      </w:r>
      <w:r>
        <w:rPr>
          <w:rFonts w:ascii="宋体" w:hAnsi="宋体"/>
          <w:szCs w:val="21"/>
        </w:rPr>
        <w:t xml:space="preserve">  指企业实现的利润在上交国家所得税后的剩余部分。按会计“损益表”中“净利润”项的本年累计数填列。</w:t>
      </w:r>
    </w:p>
    <w:p>
      <w:pPr>
        <w:spacing w:line="400" w:lineRule="exact"/>
        <w:ind w:firstLine="420" w:firstLineChars="200"/>
        <w:rPr>
          <w:rFonts w:ascii="宋体" w:hAnsi="宋体"/>
          <w:szCs w:val="21"/>
        </w:rPr>
      </w:pPr>
      <w:r>
        <w:rPr>
          <w:rFonts w:hint="eastAsia" w:ascii="黑体" w:hAnsi="黑体" w:eastAsia="黑体"/>
          <w:szCs w:val="21"/>
        </w:rPr>
        <w:t>实际上缴税费总额</w:t>
      </w:r>
      <w:r>
        <w:rPr>
          <w:rFonts w:ascii="宋体" w:hAnsi="宋体"/>
          <w:szCs w:val="21"/>
        </w:rPr>
        <w:t xml:space="preserve">  指企业在报告期内实际上缴的各项税金、特种基金和附加费等。按当年实际发生额填报。</w:t>
      </w:r>
    </w:p>
    <w:p>
      <w:pPr>
        <w:spacing w:line="400" w:lineRule="exact"/>
        <w:ind w:firstLine="420" w:firstLineChars="200"/>
        <w:rPr>
          <w:rFonts w:ascii="宋体" w:hAnsi="宋体"/>
          <w:szCs w:val="21"/>
        </w:rPr>
      </w:pPr>
      <w:r>
        <w:rPr>
          <w:rFonts w:hint="eastAsia" w:ascii="黑体" w:hAnsi="黑体" w:eastAsia="黑体"/>
          <w:szCs w:val="21"/>
        </w:rPr>
        <w:t>实际减免税总额</w:t>
      </w:r>
      <w:r>
        <w:rPr>
          <w:rFonts w:ascii="宋体" w:hAnsi="宋体"/>
          <w:szCs w:val="21"/>
        </w:rPr>
        <w:t xml:space="preserve">  指报告期内企业根据国家或地方政府有关政策，实际享受的各种减免税总额。包括税率式减免、税基式减免和税额式减免三类。具体包括已申报已审批、非申报非审批的征前减免和退库减免。其中，征前减免包括所得税加计扣除减免、欠税抵顶减免、对个体工商户提高起征点减免等；退库减免包括税务部门审批办理的先征后退（即征即退）、财政部门审批办理的流转税先征后退减免。  </w:t>
      </w:r>
    </w:p>
    <w:p>
      <w:pPr>
        <w:spacing w:line="400" w:lineRule="exact"/>
        <w:ind w:firstLine="420" w:firstLineChars="200"/>
        <w:rPr>
          <w:szCs w:val="21"/>
        </w:rPr>
      </w:pPr>
      <w:r>
        <w:rPr>
          <w:rFonts w:hint="eastAsia" w:ascii="黑体" w:hAnsi="黑体" w:eastAsia="黑体"/>
          <w:szCs w:val="21"/>
        </w:rPr>
        <w:t>享受高新技术企业所得税减免</w:t>
      </w:r>
      <w:r>
        <w:rPr>
          <w:rFonts w:ascii="宋体" w:hAnsi="宋体"/>
          <w:szCs w:val="21"/>
        </w:rPr>
        <w:t xml:space="preserve">  指报告期内高新技术企业按照国家有关政策依法享受的企业所得税减免额，按填报期当年税务部门实际减免的税额填报。如本年实际发生的减免额为零，即填0。对填报期上年应获得减免但未予实施，而实际在填报期年度获得减免的，须计入填报期填报。</w:t>
      </w:r>
    </w:p>
    <w:p>
      <w:pPr>
        <w:spacing w:line="400" w:lineRule="exact"/>
        <w:ind w:firstLine="420" w:firstLineChars="200"/>
        <w:rPr>
          <w:rFonts w:ascii="宋体" w:hAnsi="宋体"/>
          <w:kern w:val="0"/>
          <w:szCs w:val="21"/>
        </w:rPr>
      </w:pPr>
    </w:p>
    <w:bookmarkEnd w:id="2"/>
    <w:bookmarkEnd w:id="3"/>
    <w:bookmarkEnd w:id="4"/>
    <w:p>
      <w:pPr>
        <w:widowControl/>
        <w:spacing w:line="280" w:lineRule="atLeast"/>
        <w:ind w:right="450"/>
        <w:rPr>
          <w:rFonts w:ascii="仿宋_GB2312" w:hAnsi="宋体" w:eastAsia="仿宋_GB2312" w:cs="宋体"/>
          <w:color w:val="000000"/>
          <w:kern w:val="0"/>
          <w:sz w:val="30"/>
          <w:szCs w:val="30"/>
        </w:rPr>
      </w:pPr>
    </w:p>
    <w:p>
      <w:pPr>
        <w:widowControl/>
        <w:spacing w:line="280" w:lineRule="atLeast"/>
        <w:ind w:right="4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附件二：</w:t>
      </w:r>
    </w:p>
    <w:p>
      <w:pPr>
        <w:widowControl/>
        <w:spacing w:line="280" w:lineRule="atLeast"/>
        <w:ind w:right="450"/>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国家火炬计划特色产业基地及骨干企业清单</w:t>
      </w:r>
    </w:p>
    <w:tbl>
      <w:tblPr>
        <w:tblStyle w:val="12"/>
        <w:tblpPr w:leftFromText="180" w:rightFromText="180" w:vertAnchor="page" w:horzAnchor="margin" w:tblpY="3721"/>
        <w:tblW w:w="8643" w:type="dxa"/>
        <w:tblInd w:w="0" w:type="dxa"/>
        <w:tblLayout w:type="fixed"/>
        <w:tblCellMar>
          <w:top w:w="0" w:type="dxa"/>
          <w:left w:w="108" w:type="dxa"/>
          <w:bottom w:w="0" w:type="dxa"/>
          <w:right w:w="108" w:type="dxa"/>
        </w:tblCellMar>
      </w:tblPr>
      <w:tblGrid>
        <w:gridCol w:w="1265"/>
        <w:gridCol w:w="7378"/>
      </w:tblGrid>
      <w:tr>
        <w:tblPrEx>
          <w:tblLayout w:type="fixed"/>
          <w:tblCellMar>
            <w:top w:w="0" w:type="dxa"/>
            <w:left w:w="108" w:type="dxa"/>
            <w:bottom w:w="0" w:type="dxa"/>
            <w:right w:w="108" w:type="dxa"/>
          </w:tblCellMar>
        </w:tblPrEx>
        <w:trPr>
          <w:trHeight w:val="841" w:hRule="atLeast"/>
        </w:trPr>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73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名称</w:t>
            </w:r>
          </w:p>
        </w:tc>
      </w:tr>
      <w:tr>
        <w:tblPrEx>
          <w:tblLayout w:type="fixed"/>
          <w:tblCellMar>
            <w:top w:w="0" w:type="dxa"/>
            <w:left w:w="108" w:type="dxa"/>
            <w:bottom w:w="0" w:type="dxa"/>
            <w:right w:w="108" w:type="dxa"/>
          </w:tblCellMar>
        </w:tblPrEx>
        <w:trPr>
          <w:trHeight w:val="841" w:hRule="atLeast"/>
        </w:trPr>
        <w:tc>
          <w:tcPr>
            <w:tcW w:w="1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73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国家火炬计划泉州微波通信产业基地</w:t>
            </w:r>
          </w:p>
        </w:tc>
      </w:tr>
      <w:tr>
        <w:tblPrEx>
          <w:tblLayout w:type="fixed"/>
          <w:tblCellMar>
            <w:top w:w="0" w:type="dxa"/>
            <w:left w:w="108" w:type="dxa"/>
            <w:bottom w:w="0" w:type="dxa"/>
            <w:right w:w="108" w:type="dxa"/>
          </w:tblCellMar>
        </w:tblPrEx>
        <w:trPr>
          <w:trHeight w:val="841" w:hRule="atLeast"/>
        </w:trPr>
        <w:tc>
          <w:tcPr>
            <w:tcW w:w="1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73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国家火炬计划德化陶瓷产业基地</w:t>
            </w:r>
          </w:p>
        </w:tc>
      </w:tr>
      <w:tr>
        <w:tblPrEx>
          <w:tblLayout w:type="fixed"/>
          <w:tblCellMar>
            <w:top w:w="0" w:type="dxa"/>
            <w:left w:w="108" w:type="dxa"/>
            <w:bottom w:w="0" w:type="dxa"/>
            <w:right w:w="108" w:type="dxa"/>
          </w:tblCellMar>
        </w:tblPrEx>
        <w:trPr>
          <w:trHeight w:val="841" w:hRule="atLeast"/>
        </w:trPr>
        <w:tc>
          <w:tcPr>
            <w:tcW w:w="1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73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国家火炬泉州经开区无线通信特色产业基地</w:t>
            </w:r>
          </w:p>
        </w:tc>
      </w:tr>
      <w:tr>
        <w:tblPrEx>
          <w:tblLayout w:type="fixed"/>
          <w:tblCellMar>
            <w:top w:w="0" w:type="dxa"/>
            <w:left w:w="108" w:type="dxa"/>
            <w:bottom w:w="0" w:type="dxa"/>
            <w:right w:w="108" w:type="dxa"/>
          </w:tblCellMar>
        </w:tblPrEx>
        <w:trPr>
          <w:trHeight w:val="841" w:hRule="atLeast"/>
        </w:trPr>
        <w:tc>
          <w:tcPr>
            <w:tcW w:w="1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73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国家火炬计划莆田液晶显示产业基地</w:t>
            </w:r>
          </w:p>
        </w:tc>
      </w:tr>
      <w:tr>
        <w:tblPrEx>
          <w:tblLayout w:type="fixed"/>
          <w:tblCellMar>
            <w:top w:w="0" w:type="dxa"/>
            <w:left w:w="108" w:type="dxa"/>
            <w:bottom w:w="0" w:type="dxa"/>
            <w:right w:w="108" w:type="dxa"/>
          </w:tblCellMar>
        </w:tblPrEx>
        <w:trPr>
          <w:trHeight w:val="841" w:hRule="atLeast"/>
        </w:trPr>
        <w:tc>
          <w:tcPr>
            <w:tcW w:w="1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73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国家火炬计划建瓯笋竹科技特色产业基地</w:t>
            </w:r>
          </w:p>
        </w:tc>
      </w:tr>
      <w:tr>
        <w:tblPrEx>
          <w:tblLayout w:type="fixed"/>
          <w:tblCellMar>
            <w:top w:w="0" w:type="dxa"/>
            <w:left w:w="108" w:type="dxa"/>
            <w:bottom w:w="0" w:type="dxa"/>
            <w:right w:w="108" w:type="dxa"/>
          </w:tblCellMar>
        </w:tblPrEx>
        <w:trPr>
          <w:trHeight w:val="841" w:hRule="atLeast"/>
        </w:trPr>
        <w:tc>
          <w:tcPr>
            <w:tcW w:w="1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73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国家火炬福建福安中小电机特色产业基地</w:t>
            </w:r>
          </w:p>
        </w:tc>
      </w:tr>
      <w:tr>
        <w:tblPrEx>
          <w:tblLayout w:type="fixed"/>
          <w:tblCellMar>
            <w:top w:w="0" w:type="dxa"/>
            <w:left w:w="108" w:type="dxa"/>
            <w:bottom w:w="0" w:type="dxa"/>
            <w:right w:w="108" w:type="dxa"/>
          </w:tblCellMar>
        </w:tblPrEx>
        <w:trPr>
          <w:trHeight w:val="841" w:hRule="atLeast"/>
        </w:trPr>
        <w:tc>
          <w:tcPr>
            <w:tcW w:w="12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73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国家火炬福鼎化油器特色产业基地</w:t>
            </w:r>
          </w:p>
        </w:tc>
      </w:tr>
    </w:tbl>
    <w:p>
      <w:pPr>
        <w:widowControl/>
        <w:spacing w:line="280" w:lineRule="atLeast"/>
        <w:ind w:right="450"/>
        <w:jc w:val="center"/>
        <w:rPr>
          <w:rFonts w:ascii="仿宋_GB2312" w:hAnsi="宋体" w:eastAsia="仿宋_GB2312" w:cs="宋体"/>
          <w:color w:val="000000"/>
          <w:kern w:val="0"/>
          <w:sz w:val="32"/>
          <w:szCs w:val="32"/>
        </w:rPr>
      </w:pPr>
    </w:p>
    <w:p>
      <w:pPr>
        <w:widowControl/>
        <w:spacing w:line="280" w:lineRule="atLeast"/>
        <w:ind w:right="450"/>
        <w:jc w:val="center"/>
        <w:rPr>
          <w:rFonts w:ascii="仿宋_GB2312" w:hAnsi="宋体" w:eastAsia="仿宋_GB2312" w:cs="宋体"/>
          <w:color w:val="000000"/>
          <w:kern w:val="0"/>
          <w:sz w:val="32"/>
          <w:szCs w:val="32"/>
        </w:rPr>
      </w:pPr>
    </w:p>
    <w:p>
      <w:pPr>
        <w:widowControl/>
        <w:spacing w:line="280" w:lineRule="atLeast"/>
        <w:ind w:right="450"/>
        <w:jc w:val="center"/>
        <w:rPr>
          <w:rFonts w:ascii="仿宋_GB2312" w:hAnsi="宋体" w:eastAsia="仿宋_GB2312" w:cs="宋体"/>
          <w:color w:val="000000"/>
          <w:kern w:val="0"/>
          <w:sz w:val="32"/>
          <w:szCs w:val="32"/>
        </w:rPr>
      </w:pPr>
    </w:p>
    <w:p>
      <w:pPr>
        <w:widowControl/>
        <w:spacing w:line="280" w:lineRule="atLeast"/>
        <w:ind w:right="450"/>
        <w:jc w:val="center"/>
        <w:rPr>
          <w:rFonts w:ascii="仿宋_GB2312" w:hAnsi="宋体" w:eastAsia="仿宋_GB2312" w:cs="宋体"/>
          <w:color w:val="000000"/>
          <w:kern w:val="0"/>
          <w:sz w:val="32"/>
          <w:szCs w:val="32"/>
        </w:rPr>
      </w:pPr>
    </w:p>
    <w:p>
      <w:pPr>
        <w:widowControl/>
        <w:spacing w:line="280" w:lineRule="atLeast"/>
        <w:ind w:right="450"/>
        <w:jc w:val="center"/>
        <w:rPr>
          <w:rFonts w:ascii="仿宋_GB2312" w:hAnsi="宋体" w:eastAsia="仿宋_GB2312" w:cs="宋体"/>
          <w:color w:val="000000"/>
          <w:kern w:val="0"/>
          <w:sz w:val="32"/>
          <w:szCs w:val="32"/>
        </w:rPr>
      </w:pPr>
    </w:p>
    <w:p>
      <w:pPr>
        <w:widowControl/>
        <w:spacing w:line="280" w:lineRule="atLeast"/>
        <w:ind w:right="450"/>
        <w:jc w:val="center"/>
        <w:rPr>
          <w:rFonts w:ascii="仿宋_GB2312" w:hAnsi="宋体" w:eastAsia="仿宋_GB2312" w:cs="宋体"/>
          <w:color w:val="000000"/>
          <w:kern w:val="0"/>
          <w:sz w:val="32"/>
          <w:szCs w:val="32"/>
        </w:rPr>
      </w:pPr>
    </w:p>
    <w:p>
      <w:pPr>
        <w:widowControl/>
        <w:spacing w:line="280" w:lineRule="atLeast"/>
        <w:ind w:right="450"/>
        <w:jc w:val="center"/>
        <w:rPr>
          <w:rFonts w:ascii="仿宋_GB2312" w:hAnsi="宋体" w:eastAsia="仿宋_GB2312" w:cs="宋体"/>
          <w:color w:val="000000"/>
          <w:kern w:val="0"/>
          <w:sz w:val="32"/>
          <w:szCs w:val="32"/>
        </w:rPr>
      </w:pPr>
    </w:p>
    <w:p>
      <w:pPr>
        <w:widowControl/>
        <w:spacing w:line="280" w:lineRule="atLeast"/>
        <w:ind w:right="450"/>
        <w:jc w:val="left"/>
        <w:rPr>
          <w:rFonts w:hint="eastAsia" w:ascii="仿宋_GB2312" w:hAnsi="宋体" w:eastAsia="仿宋_GB2312" w:cs="宋体"/>
          <w:color w:val="000000"/>
          <w:kern w:val="0"/>
          <w:sz w:val="32"/>
          <w:szCs w:val="32"/>
        </w:rPr>
      </w:pPr>
    </w:p>
    <w:p>
      <w:pPr>
        <w:widowControl/>
        <w:spacing w:line="280" w:lineRule="atLeast"/>
        <w:ind w:right="45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附件三：</w:t>
      </w:r>
    </w:p>
    <w:p>
      <w:pPr>
        <w:pStyle w:val="3"/>
      </w:pPr>
      <w:r>
        <w:pict>
          <v:rect id="矩形 3" o:spid="_x0000_s1030" o:spt="1" style="position:absolute;left:0pt;margin-left:335.25pt;margin-top:26.65pt;height:67.6pt;width:127.7pt;z-index:25166233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KW/QIAADwGAAAOAAAAZHJzL2Uyb0RvYy54bWysVMuO0zAU3SPxD5b3mTyatEk0KWo7DUIa&#10;YKQBsXYTp7FI7GC7TQfEtyCx4yP4HMRvcO30CSwQkEiRb3x9fc65j+snu7ZBWyoVEzzD/pWHEeWF&#10;KBlfZ/j1q9yJMVKa8JI0gtMMP1CFn0wfP7ruu5QGohZNSSWCIFylfZfhWusudV1V1LQl6kp0lMNm&#10;JWRLNJhy7ZaS9BC9bdzA88ZuL2TZSVFQpeDvzbCJpzZ+VdFCv6wqRTVqMgzYtP1K+12Zrzu9Jula&#10;kq5mxR4G+QsULWEcLj2GuiGaoI1kv4RqWSGFEpW+KkTriqpiBbUcgI3v/cTmviYdtVxAHNUdZVL/&#10;L2zxYnsnESszPMKIkxZS9P3Tl29fP6OR0abvVAou992dNOxUdyuKtwpxsagJX9OZlKKvKSkBkW/8&#10;3YsDxlBwFK3656KE0GSjhZVpV8nWBAQB0M5m4+GYDbrTqICf/jjwJwkkrYC9OIqjwKbLJenhdCeV&#10;fkpFi8wiwxKybaOT7a3SBg1JDy4WvWhYmbOmsYZcrxaNRFsClZHbxxIAkuduDTfOXJhjQ8ThD7W1&#10;NVxDUoAMS+NpwNu8f0j8IPTmQeLk43jihHkYOcnEix3PT+bJ2AuT8Cb/aOD6YVqzsqT8lnF6qEE/&#10;/LMc77thqB5bhajPcBIFkVXigos6p+zZ53eUW6ahJRvWgupHJ5KaNC95CSKQVBPWDGv3Er7VHDS4&#10;lGKWR94kHMXOZBKNnHC09Jx5nC+c2cIfjyfL+WK+9C+lWFp51b+rYYEccmUMsQF293XZo5KZohlF&#10;SeBjMGAoBJOBLyLNGqZZoSVGUug3TNe2FU2JmhgXQsaeefdCHqMPQpwuPtNpz+0kFZTpoYBs/5iW&#10;GVpP71Y7ENz00UqUD9BJAMe2C4xcWNRCvseoh/GVYfVuQyTFqHnGTTfGnh/CvBsMAxGonO+szncI&#10;LyBUhjVGw3Khhxm56SRb13CTb4lzMYMOrphtrhMqoGIMGFGW1H6cmhl4bluv09Cf/gAAAP//AwBQ&#10;SwMEFAAGAAgAAAAhAPiZ8AzgAAAACgEAAA8AAABkcnMvZG93bnJldi54bWxMjzFPwzAQhXck/oN1&#10;SGzUbqqUNMSpEKQsdCCBhc2Nr3FEbEex24Z/zzHBeHqf3vuu2M52YGecQu+dhOVCAEPXet27TsLH&#10;++4uAxaicloN3qGEbwywLa+vCpVrf3E1npvYMSpxIVcSTIxjznloDVoVFn5ER9nRT1ZFOqeO60ld&#10;qNwOPBFiza3qHS0YNeKTwfarOVkJ/Dlp4r6qq7eX+vO1OoalEXon5e3N/PgALOIc/2D41Sd1KMnp&#10;4E9OBzZIWN+LlFAJ6WoFjIBNkm6AHYjMshR4WfD/L5Q/AAAA//8DAFBLAQItABQABgAIAAAAIQC2&#10;gziS/gAAAOEBAAATAAAAAAAAAAAAAAAAAAAAAABbQ29udGVudF9UeXBlc10ueG1sUEsBAi0AFAAG&#10;AAgAAAAhADj9If/WAAAAlAEAAAsAAAAAAAAAAAAAAAAALwEAAF9yZWxzLy5yZWxzUEsBAi0AFAAG&#10;AAgAAAAhAF5DMpb9AgAAPAYAAA4AAAAAAAAAAAAAAAAALgIAAGRycy9lMm9Eb2MueG1sUEsBAi0A&#10;FAAGAAgAAAAhAPiZ8AzgAAAACgEAAA8AAAAAAAAAAAAAAAAAVwUAAGRycy9kb3ducmV2LnhtbFBL&#10;BQYAAAAABAAEAPMAAABkBgAAAAA=&#10;">
            <v:path/>
            <v:fill focussize="0,0"/>
            <v:stroke on="f"/>
            <v:imagedata o:title=""/>
            <o:lock v:ext="edit"/>
            <v:textbox inset="1.41842519685039pt,0.851023622047244pt,1.41842519685039pt,0.851023622047244pt">
              <w:txbxContent>
                <w:p>
                  <w:pPr>
                    <w:spacing w:line="240" w:lineRule="exact"/>
                    <w:rPr>
                      <w:rFonts w:ascii="宋体" w:hAnsi="宋体"/>
                      <w:sz w:val="18"/>
                    </w:rPr>
                  </w:pPr>
                  <w:r>
                    <w:rPr>
                      <w:rFonts w:hint="eastAsia" w:ascii="宋体" w:hAnsi="宋体"/>
                      <w:sz w:val="18"/>
                    </w:rPr>
                    <w:t>表    号</w:t>
                  </w:r>
                  <w:r>
                    <w:rPr>
                      <w:rFonts w:ascii="宋体" w:hAnsi="宋体"/>
                      <w:sz w:val="18"/>
                    </w:rPr>
                    <w:t>：</w:t>
                  </w:r>
                  <w:r>
                    <w:rPr>
                      <w:rFonts w:hint="eastAsia" w:ascii="宋体" w:hAnsi="宋体"/>
                      <w:color w:val="000000"/>
                      <w:sz w:val="18"/>
                    </w:rPr>
                    <w:t>GQYB-01</w:t>
                  </w:r>
                </w:p>
                <w:p>
                  <w:pPr>
                    <w:spacing w:line="240" w:lineRule="exact"/>
                    <w:rPr>
                      <w:rFonts w:ascii="宋体" w:hAnsi="宋体"/>
                      <w:sz w:val="18"/>
                    </w:rPr>
                  </w:pPr>
                  <w:r>
                    <w:rPr>
                      <w:rFonts w:ascii="宋体" w:hAnsi="宋体"/>
                      <w:sz w:val="18"/>
                    </w:rPr>
                    <w:t>制定机关：科学技术部</w:t>
                  </w:r>
                </w:p>
                <w:p>
                  <w:pPr>
                    <w:spacing w:line="240" w:lineRule="exact"/>
                    <w:ind w:right="360"/>
                    <w:rPr>
                      <w:rFonts w:ascii="宋体" w:hAnsi="宋体"/>
                      <w:sz w:val="18"/>
                    </w:rPr>
                  </w:pPr>
                  <w:r>
                    <w:rPr>
                      <w:rFonts w:ascii="宋体" w:hAnsi="宋体"/>
                      <w:sz w:val="18"/>
                    </w:rPr>
                    <w:t>批准机关：国家统计局</w:t>
                  </w:r>
                </w:p>
                <w:p>
                  <w:pPr>
                    <w:spacing w:line="240" w:lineRule="exact"/>
                    <w:ind w:right="360"/>
                    <w:rPr>
                      <w:rFonts w:ascii="宋体" w:hAnsi="宋体"/>
                      <w:sz w:val="18"/>
                    </w:rPr>
                  </w:pPr>
                  <w:r>
                    <w:rPr>
                      <w:rFonts w:ascii="宋体" w:hAnsi="宋体"/>
                      <w:sz w:val="18"/>
                    </w:rPr>
                    <w:t>批准文号：国统</w:t>
                  </w:r>
                  <w:r>
                    <w:rPr>
                      <w:rFonts w:hint="eastAsia" w:ascii="宋体" w:hAnsi="宋体"/>
                      <w:sz w:val="18"/>
                    </w:rPr>
                    <w:t>制</w:t>
                  </w:r>
                </w:p>
              </w:txbxContent>
            </v:textbox>
          </v:rect>
        </w:pict>
      </w:r>
      <w:r>
        <w:rPr>
          <w:rFonts w:hint="eastAsia"/>
        </w:rPr>
        <w:t>高新技术企业综合统计月报表</w:t>
      </w:r>
    </w:p>
    <w:p>
      <w:pPr>
        <w:rPr>
          <w:szCs w:val="21"/>
        </w:rPr>
      </w:pPr>
    </w:p>
    <w:p>
      <w:pPr>
        <w:widowControl/>
        <w:spacing w:line="280" w:lineRule="exact"/>
        <w:jc w:val="left"/>
        <w:rPr>
          <w:rFonts w:ascii="宋体"/>
          <w:sz w:val="18"/>
          <w:szCs w:val="20"/>
        </w:rPr>
      </w:pPr>
    </w:p>
    <w:p>
      <w:pPr>
        <w:widowControl/>
        <w:spacing w:line="280" w:lineRule="exact"/>
        <w:jc w:val="left"/>
        <w:rPr>
          <w:rFonts w:ascii="宋体"/>
          <w:sz w:val="18"/>
          <w:szCs w:val="20"/>
        </w:rPr>
      </w:pPr>
    </w:p>
    <w:p>
      <w:pPr>
        <w:widowControl/>
        <w:spacing w:line="280" w:lineRule="exact"/>
        <w:jc w:val="left"/>
        <w:rPr>
          <w:rFonts w:ascii="宋体"/>
          <w:sz w:val="18"/>
          <w:szCs w:val="20"/>
        </w:rPr>
      </w:pPr>
    </w:p>
    <w:p>
      <w:pPr>
        <w:widowControl/>
        <w:spacing w:line="280" w:lineRule="exact"/>
        <w:jc w:val="left"/>
        <w:rPr>
          <w:rFonts w:ascii="宋体"/>
          <w:sz w:val="18"/>
          <w:szCs w:val="20"/>
        </w:rPr>
      </w:pPr>
    </w:p>
    <w:p>
      <w:pPr>
        <w:rPr>
          <w:vanish/>
        </w:rPr>
      </w:pPr>
    </w:p>
    <w:tbl>
      <w:tblPr>
        <w:tblStyle w:val="12"/>
        <w:tblW w:w="9524" w:type="dxa"/>
        <w:jc w:val="center"/>
        <w:tblInd w:w="0" w:type="dxa"/>
        <w:tblLayout w:type="fixed"/>
        <w:tblCellMar>
          <w:top w:w="15" w:type="dxa"/>
          <w:left w:w="15" w:type="dxa"/>
          <w:bottom w:w="15" w:type="dxa"/>
          <w:right w:w="15" w:type="dxa"/>
        </w:tblCellMar>
      </w:tblPr>
      <w:tblGrid>
        <w:gridCol w:w="4191"/>
        <w:gridCol w:w="1166"/>
        <w:gridCol w:w="951"/>
        <w:gridCol w:w="3216"/>
      </w:tblGrid>
      <w:tr>
        <w:tblPrEx>
          <w:tblLayout w:type="fixed"/>
          <w:tblCellMar>
            <w:top w:w="15" w:type="dxa"/>
            <w:left w:w="15" w:type="dxa"/>
            <w:bottom w:w="15" w:type="dxa"/>
            <w:right w:w="15" w:type="dxa"/>
          </w:tblCellMar>
        </w:tblPrEx>
        <w:trPr>
          <w:trHeight w:val="480" w:hRule="atLeast"/>
          <w:jc w:val="center"/>
        </w:trPr>
        <w:tc>
          <w:tcPr>
            <w:tcW w:w="4191" w:type="dxa"/>
            <w:tcBorders>
              <w:top w:val="single" w:color="auto" w:sz="8" w:space="0"/>
              <w:bottom w:val="single" w:color="auto" w:sz="4" w:space="0"/>
              <w:right w:val="single" w:color="000000" w:sz="4" w:space="0"/>
            </w:tcBorders>
            <w:shd w:val="clear" w:color="auto" w:fill="auto"/>
            <w:vAlign w:val="center"/>
          </w:tcPr>
          <w:p>
            <w:pPr>
              <w:spacing w:line="280" w:lineRule="exact"/>
              <w:jc w:val="center"/>
              <w:textAlignment w:val="center"/>
              <w:rPr>
                <w:rFonts w:ascii="宋体" w:hAnsi="宋体" w:cs="宋体"/>
                <w:sz w:val="18"/>
                <w:szCs w:val="18"/>
              </w:rPr>
            </w:pPr>
            <w:r>
              <w:rPr>
                <w:rFonts w:hint="eastAsia" w:ascii="宋体" w:hAnsi="宋体" w:cs="宋体"/>
                <w:sz w:val="18"/>
                <w:szCs w:val="18"/>
              </w:rPr>
              <w:t>指标名称</w:t>
            </w:r>
          </w:p>
        </w:tc>
        <w:tc>
          <w:tcPr>
            <w:tcW w:w="1166" w:type="dxa"/>
            <w:tcBorders>
              <w:top w:val="single" w:color="auto" w:sz="8" w:space="0"/>
              <w:left w:val="single" w:color="000000" w:sz="4" w:space="0"/>
              <w:bottom w:val="single" w:color="auto" w:sz="4" w:space="0"/>
              <w:right w:val="single" w:color="000000" w:sz="4" w:space="0"/>
            </w:tcBorders>
            <w:shd w:val="clear" w:color="auto" w:fill="auto"/>
            <w:vAlign w:val="center"/>
          </w:tcPr>
          <w:p>
            <w:pPr>
              <w:spacing w:line="280" w:lineRule="exact"/>
              <w:jc w:val="center"/>
              <w:textAlignment w:val="center"/>
              <w:rPr>
                <w:rFonts w:ascii="宋体" w:hAnsi="宋体" w:cs="宋体"/>
                <w:sz w:val="18"/>
                <w:szCs w:val="18"/>
              </w:rPr>
            </w:pPr>
            <w:r>
              <w:rPr>
                <w:rFonts w:hint="eastAsia" w:ascii="宋体" w:hAnsi="宋体" w:cs="宋体"/>
                <w:sz w:val="18"/>
                <w:szCs w:val="18"/>
              </w:rPr>
              <w:t>计量单位</w:t>
            </w:r>
          </w:p>
        </w:tc>
        <w:tc>
          <w:tcPr>
            <w:tcW w:w="951" w:type="dxa"/>
            <w:tcBorders>
              <w:top w:val="single" w:color="auto" w:sz="8" w:space="0"/>
              <w:left w:val="single" w:color="000000" w:sz="4" w:space="0"/>
              <w:bottom w:val="single" w:color="auto" w:sz="4" w:space="0"/>
              <w:right w:val="single" w:color="000000" w:sz="4" w:space="0"/>
            </w:tcBorders>
            <w:shd w:val="clear" w:color="auto" w:fill="auto"/>
            <w:vAlign w:val="center"/>
          </w:tcPr>
          <w:p>
            <w:pPr>
              <w:spacing w:line="280" w:lineRule="exact"/>
              <w:jc w:val="center"/>
              <w:textAlignment w:val="center"/>
              <w:rPr>
                <w:rFonts w:ascii="宋体" w:hAnsi="宋体" w:cs="宋体"/>
                <w:sz w:val="18"/>
                <w:szCs w:val="18"/>
              </w:rPr>
            </w:pPr>
            <w:r>
              <w:rPr>
                <w:rFonts w:hint="eastAsia" w:ascii="宋体" w:hAnsi="宋体" w:cs="宋体"/>
                <w:sz w:val="18"/>
                <w:szCs w:val="18"/>
              </w:rPr>
              <w:t>代码</w:t>
            </w:r>
          </w:p>
        </w:tc>
        <w:tc>
          <w:tcPr>
            <w:tcW w:w="3216" w:type="dxa"/>
            <w:tcBorders>
              <w:top w:val="single" w:color="auto" w:sz="8" w:space="0"/>
              <w:left w:val="single" w:color="000000" w:sz="4" w:space="0"/>
              <w:bottom w:val="single" w:color="auto" w:sz="4" w:space="0"/>
            </w:tcBorders>
            <w:shd w:val="clear" w:color="auto" w:fill="auto"/>
            <w:vAlign w:val="center"/>
          </w:tcPr>
          <w:p>
            <w:pPr>
              <w:spacing w:line="280" w:lineRule="exact"/>
              <w:jc w:val="center"/>
              <w:textAlignment w:val="center"/>
              <w:rPr>
                <w:rFonts w:ascii="宋体" w:hAnsi="宋体" w:cs="宋体"/>
                <w:sz w:val="18"/>
                <w:szCs w:val="18"/>
              </w:rPr>
            </w:pPr>
            <w:r>
              <w:rPr>
                <w:rFonts w:ascii="宋体" w:hAnsi="宋体" w:cs="宋体"/>
                <w:sz w:val="18"/>
                <w:szCs w:val="18"/>
              </w:rPr>
              <w:t>1-本月</w:t>
            </w:r>
          </w:p>
        </w:tc>
      </w:tr>
      <w:tr>
        <w:tblPrEx>
          <w:tblLayout w:type="fixed"/>
          <w:tblCellMar>
            <w:top w:w="15" w:type="dxa"/>
            <w:left w:w="15" w:type="dxa"/>
            <w:bottom w:w="15" w:type="dxa"/>
            <w:right w:w="15" w:type="dxa"/>
          </w:tblCellMar>
        </w:tblPrEx>
        <w:trPr>
          <w:trHeight w:val="480" w:hRule="atLeast"/>
          <w:jc w:val="center"/>
        </w:trPr>
        <w:tc>
          <w:tcPr>
            <w:tcW w:w="4191" w:type="dxa"/>
            <w:tcBorders>
              <w:top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宋体" w:hAnsi="宋体" w:cs="宋体"/>
                <w:sz w:val="18"/>
                <w:szCs w:val="18"/>
              </w:rPr>
            </w:pPr>
            <w:r>
              <w:rPr>
                <w:rFonts w:hint="eastAsia" w:ascii="宋体" w:hAnsi="宋体" w:cs="宋体"/>
                <w:sz w:val="18"/>
                <w:szCs w:val="18"/>
              </w:rPr>
              <w:t>一、统计高企数</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宋体" w:hAnsi="宋体" w:cs="宋体"/>
                <w:sz w:val="18"/>
                <w:szCs w:val="18"/>
              </w:rPr>
            </w:pPr>
            <w:r>
              <w:rPr>
                <w:rFonts w:hint="eastAsia" w:ascii="宋体" w:hAnsi="宋体" w:cs="宋体"/>
                <w:sz w:val="18"/>
                <w:szCs w:val="18"/>
              </w:rPr>
              <w:t>家</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8"/>
                <w:szCs w:val="18"/>
              </w:rPr>
            </w:pPr>
            <w:r>
              <w:rPr>
                <w:rFonts w:ascii="宋体" w:hAnsi="宋体" w:cs="宋体"/>
                <w:sz w:val="18"/>
                <w:szCs w:val="18"/>
              </w:rPr>
              <w:t>YQ01</w:t>
            </w:r>
          </w:p>
        </w:tc>
        <w:tc>
          <w:tcPr>
            <w:tcW w:w="3216" w:type="dxa"/>
            <w:tcBorders>
              <w:top w:val="single" w:color="000000" w:sz="4" w:space="0"/>
              <w:left w:val="single" w:color="000000" w:sz="4" w:space="0"/>
              <w:bottom w:val="single" w:color="000000" w:sz="4" w:space="0"/>
            </w:tcBorders>
            <w:shd w:val="clear" w:color="auto" w:fill="auto"/>
            <w:vAlign w:val="center"/>
          </w:tcPr>
          <w:p>
            <w:pPr>
              <w:spacing w:line="280" w:lineRule="exact"/>
              <w:jc w:val="center"/>
              <w:rPr>
                <w:rFonts w:ascii="宋体" w:hAnsi="宋体" w:cs="宋体"/>
                <w:sz w:val="18"/>
                <w:szCs w:val="18"/>
              </w:rPr>
            </w:pPr>
          </w:p>
        </w:tc>
      </w:tr>
      <w:tr>
        <w:tblPrEx>
          <w:tblLayout w:type="fixed"/>
          <w:tblCellMar>
            <w:top w:w="15" w:type="dxa"/>
            <w:left w:w="15" w:type="dxa"/>
            <w:bottom w:w="15" w:type="dxa"/>
            <w:right w:w="15" w:type="dxa"/>
          </w:tblCellMar>
        </w:tblPrEx>
        <w:trPr>
          <w:trHeight w:val="480" w:hRule="atLeast"/>
          <w:jc w:val="center"/>
        </w:trPr>
        <w:tc>
          <w:tcPr>
            <w:tcW w:w="4191" w:type="dxa"/>
            <w:tcBorders>
              <w:top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宋体" w:hAnsi="宋体" w:cs="宋体"/>
                <w:sz w:val="18"/>
                <w:szCs w:val="18"/>
              </w:rPr>
            </w:pPr>
            <w:r>
              <w:rPr>
                <w:rFonts w:hint="eastAsia" w:ascii="宋体" w:hAnsi="宋体" w:cs="宋体"/>
                <w:sz w:val="18"/>
                <w:szCs w:val="18"/>
              </w:rPr>
              <w:t>二、营业收入</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宋体" w:hAnsi="宋体" w:cs="宋体"/>
                <w:sz w:val="18"/>
                <w:szCs w:val="18"/>
              </w:rPr>
            </w:pPr>
            <w:r>
              <w:rPr>
                <w:rFonts w:hint="eastAsia" w:ascii="宋体" w:hAnsi="宋体" w:cs="宋体"/>
                <w:sz w:val="18"/>
                <w:szCs w:val="18"/>
              </w:rPr>
              <w:t>千元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8"/>
                <w:szCs w:val="18"/>
              </w:rPr>
            </w:pPr>
            <w:r>
              <w:rPr>
                <w:rFonts w:ascii="宋体" w:hAnsi="宋体" w:cs="宋体"/>
                <w:sz w:val="18"/>
                <w:szCs w:val="18"/>
              </w:rPr>
              <w:t>YQ02</w:t>
            </w:r>
          </w:p>
        </w:tc>
        <w:tc>
          <w:tcPr>
            <w:tcW w:w="3216" w:type="dxa"/>
            <w:tcBorders>
              <w:top w:val="single" w:color="000000" w:sz="4" w:space="0"/>
              <w:left w:val="single" w:color="000000" w:sz="4" w:space="0"/>
              <w:bottom w:val="single" w:color="000000" w:sz="4" w:space="0"/>
            </w:tcBorders>
            <w:shd w:val="clear" w:color="auto" w:fill="auto"/>
            <w:vAlign w:val="center"/>
          </w:tcPr>
          <w:p>
            <w:pPr>
              <w:spacing w:line="280" w:lineRule="exact"/>
              <w:jc w:val="center"/>
              <w:rPr>
                <w:rFonts w:ascii="宋体" w:hAnsi="宋体" w:cs="宋体"/>
                <w:sz w:val="18"/>
                <w:szCs w:val="18"/>
              </w:rPr>
            </w:pPr>
          </w:p>
        </w:tc>
      </w:tr>
      <w:tr>
        <w:tblPrEx>
          <w:tblLayout w:type="fixed"/>
          <w:tblCellMar>
            <w:top w:w="15" w:type="dxa"/>
            <w:left w:w="15" w:type="dxa"/>
            <w:bottom w:w="15" w:type="dxa"/>
            <w:right w:w="15" w:type="dxa"/>
          </w:tblCellMar>
        </w:tblPrEx>
        <w:trPr>
          <w:trHeight w:val="480" w:hRule="atLeast"/>
          <w:jc w:val="center"/>
        </w:trPr>
        <w:tc>
          <w:tcPr>
            <w:tcW w:w="4191" w:type="dxa"/>
            <w:tcBorders>
              <w:top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宋体" w:hAnsi="宋体" w:cs="宋体"/>
                <w:sz w:val="18"/>
                <w:szCs w:val="18"/>
              </w:rPr>
            </w:pPr>
            <w:r>
              <w:rPr>
                <w:rFonts w:ascii="宋体" w:hAnsi="宋体" w:cs="宋体"/>
                <w:sz w:val="18"/>
                <w:szCs w:val="18"/>
              </w:rPr>
              <w:t xml:space="preserve">      其中：主营业务收入</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宋体" w:hAnsi="宋体" w:cs="宋体"/>
                <w:sz w:val="18"/>
                <w:szCs w:val="18"/>
              </w:rPr>
            </w:pPr>
            <w:r>
              <w:rPr>
                <w:rFonts w:hint="eastAsia" w:ascii="宋体" w:hAnsi="宋体" w:cs="宋体"/>
                <w:sz w:val="18"/>
                <w:szCs w:val="18"/>
              </w:rPr>
              <w:t>千元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8"/>
                <w:szCs w:val="18"/>
              </w:rPr>
            </w:pPr>
            <w:r>
              <w:rPr>
                <w:rFonts w:ascii="宋体" w:hAnsi="宋体" w:cs="宋体"/>
                <w:sz w:val="18"/>
                <w:szCs w:val="18"/>
              </w:rPr>
              <w:t>YQ02_1</w:t>
            </w:r>
          </w:p>
        </w:tc>
        <w:tc>
          <w:tcPr>
            <w:tcW w:w="3216" w:type="dxa"/>
            <w:tcBorders>
              <w:top w:val="single" w:color="000000" w:sz="4" w:space="0"/>
              <w:left w:val="single" w:color="000000" w:sz="4" w:space="0"/>
              <w:bottom w:val="single" w:color="000000" w:sz="4" w:space="0"/>
            </w:tcBorders>
            <w:shd w:val="clear" w:color="auto" w:fill="auto"/>
            <w:vAlign w:val="center"/>
          </w:tcPr>
          <w:p>
            <w:pPr>
              <w:spacing w:line="280" w:lineRule="exact"/>
              <w:jc w:val="center"/>
              <w:rPr>
                <w:rFonts w:ascii="宋体" w:hAnsi="宋体" w:cs="宋体"/>
                <w:sz w:val="18"/>
                <w:szCs w:val="18"/>
              </w:rPr>
            </w:pPr>
          </w:p>
        </w:tc>
      </w:tr>
      <w:tr>
        <w:tblPrEx>
          <w:tblLayout w:type="fixed"/>
          <w:tblCellMar>
            <w:top w:w="15" w:type="dxa"/>
            <w:left w:w="15" w:type="dxa"/>
            <w:bottom w:w="15" w:type="dxa"/>
            <w:right w:w="15" w:type="dxa"/>
          </w:tblCellMar>
        </w:tblPrEx>
        <w:trPr>
          <w:trHeight w:val="480" w:hRule="atLeast"/>
          <w:jc w:val="center"/>
        </w:trPr>
        <w:tc>
          <w:tcPr>
            <w:tcW w:w="4191" w:type="dxa"/>
            <w:tcBorders>
              <w:top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宋体" w:hAnsi="宋体" w:cs="宋体"/>
                <w:sz w:val="18"/>
                <w:szCs w:val="18"/>
              </w:rPr>
            </w:pPr>
            <w:r>
              <w:rPr>
                <w:rFonts w:hint="eastAsia" w:ascii="宋体" w:hAnsi="宋体" w:cs="宋体"/>
                <w:sz w:val="18"/>
                <w:szCs w:val="18"/>
              </w:rPr>
              <w:t>三、利润总额</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宋体" w:hAnsi="宋体" w:cs="宋体"/>
                <w:sz w:val="18"/>
                <w:szCs w:val="18"/>
              </w:rPr>
            </w:pPr>
            <w:r>
              <w:rPr>
                <w:rFonts w:hint="eastAsia" w:ascii="宋体" w:hAnsi="宋体" w:cs="宋体"/>
                <w:sz w:val="18"/>
                <w:szCs w:val="18"/>
              </w:rPr>
              <w:t>千元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8"/>
                <w:szCs w:val="18"/>
              </w:rPr>
            </w:pPr>
            <w:r>
              <w:rPr>
                <w:rFonts w:ascii="宋体" w:hAnsi="宋体" w:cs="宋体"/>
                <w:sz w:val="18"/>
                <w:szCs w:val="18"/>
              </w:rPr>
              <w:t>YQ03</w:t>
            </w:r>
          </w:p>
        </w:tc>
        <w:tc>
          <w:tcPr>
            <w:tcW w:w="3216" w:type="dxa"/>
            <w:tcBorders>
              <w:top w:val="single" w:color="000000" w:sz="4" w:space="0"/>
              <w:left w:val="single" w:color="000000" w:sz="4" w:space="0"/>
              <w:bottom w:val="single" w:color="000000" w:sz="4" w:space="0"/>
            </w:tcBorders>
            <w:shd w:val="clear" w:color="auto" w:fill="auto"/>
            <w:vAlign w:val="center"/>
          </w:tcPr>
          <w:p>
            <w:pPr>
              <w:spacing w:line="280" w:lineRule="exact"/>
              <w:jc w:val="center"/>
              <w:rPr>
                <w:rFonts w:ascii="宋体" w:hAnsi="宋体" w:cs="宋体"/>
                <w:sz w:val="18"/>
                <w:szCs w:val="18"/>
              </w:rPr>
            </w:pPr>
          </w:p>
        </w:tc>
      </w:tr>
      <w:tr>
        <w:tblPrEx>
          <w:tblLayout w:type="fixed"/>
          <w:tblCellMar>
            <w:top w:w="15" w:type="dxa"/>
            <w:left w:w="15" w:type="dxa"/>
            <w:bottom w:w="15" w:type="dxa"/>
            <w:right w:w="15" w:type="dxa"/>
          </w:tblCellMar>
        </w:tblPrEx>
        <w:trPr>
          <w:trHeight w:val="480" w:hRule="atLeast"/>
          <w:jc w:val="center"/>
        </w:trPr>
        <w:tc>
          <w:tcPr>
            <w:tcW w:w="4191" w:type="dxa"/>
            <w:tcBorders>
              <w:top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宋体" w:hAnsi="宋体" w:cs="宋体"/>
                <w:sz w:val="18"/>
                <w:szCs w:val="18"/>
              </w:rPr>
            </w:pPr>
            <w:r>
              <w:rPr>
                <w:rFonts w:hint="eastAsia" w:ascii="宋体" w:hAnsi="宋体" w:cs="宋体"/>
                <w:sz w:val="18"/>
                <w:szCs w:val="18"/>
              </w:rPr>
              <w:t>四、工业总产值</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宋体" w:hAnsi="宋体" w:cs="宋体"/>
                <w:sz w:val="18"/>
                <w:szCs w:val="18"/>
              </w:rPr>
            </w:pPr>
            <w:r>
              <w:rPr>
                <w:rFonts w:hint="eastAsia" w:ascii="宋体" w:hAnsi="宋体" w:cs="宋体"/>
                <w:sz w:val="18"/>
                <w:szCs w:val="18"/>
              </w:rPr>
              <w:t>千元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8"/>
                <w:szCs w:val="18"/>
              </w:rPr>
            </w:pPr>
            <w:r>
              <w:rPr>
                <w:rFonts w:ascii="宋体" w:hAnsi="宋体" w:cs="宋体"/>
                <w:sz w:val="18"/>
                <w:szCs w:val="18"/>
              </w:rPr>
              <w:t>YQ04</w:t>
            </w:r>
          </w:p>
        </w:tc>
        <w:tc>
          <w:tcPr>
            <w:tcW w:w="3216" w:type="dxa"/>
            <w:tcBorders>
              <w:top w:val="single" w:color="000000" w:sz="4" w:space="0"/>
              <w:left w:val="single" w:color="000000" w:sz="4" w:space="0"/>
              <w:bottom w:val="single" w:color="000000" w:sz="4" w:space="0"/>
            </w:tcBorders>
            <w:shd w:val="clear" w:color="auto" w:fill="auto"/>
            <w:vAlign w:val="center"/>
          </w:tcPr>
          <w:p>
            <w:pPr>
              <w:spacing w:line="280" w:lineRule="exact"/>
              <w:jc w:val="center"/>
              <w:rPr>
                <w:rFonts w:ascii="宋体" w:hAnsi="宋体" w:cs="宋体"/>
                <w:sz w:val="18"/>
                <w:szCs w:val="18"/>
              </w:rPr>
            </w:pPr>
          </w:p>
        </w:tc>
      </w:tr>
      <w:tr>
        <w:tblPrEx>
          <w:tblLayout w:type="fixed"/>
          <w:tblCellMar>
            <w:top w:w="15" w:type="dxa"/>
            <w:left w:w="15" w:type="dxa"/>
            <w:bottom w:w="15" w:type="dxa"/>
            <w:right w:w="15" w:type="dxa"/>
          </w:tblCellMar>
        </w:tblPrEx>
        <w:trPr>
          <w:trHeight w:val="480" w:hRule="atLeast"/>
          <w:jc w:val="center"/>
        </w:trPr>
        <w:tc>
          <w:tcPr>
            <w:tcW w:w="4191" w:type="dxa"/>
            <w:tcBorders>
              <w:top w:val="single" w:color="000000" w:sz="4" w:space="0"/>
              <w:bottom w:val="single" w:color="000000" w:sz="4" w:space="0"/>
              <w:right w:val="single" w:color="000000" w:sz="4" w:space="0"/>
            </w:tcBorders>
            <w:shd w:val="clear" w:color="auto" w:fill="auto"/>
            <w:vAlign w:val="center"/>
          </w:tcPr>
          <w:p>
            <w:pPr>
              <w:spacing w:line="280" w:lineRule="exact"/>
              <w:textAlignment w:val="center"/>
              <w:rPr>
                <w:rFonts w:ascii="宋体" w:hAnsi="宋体" w:cs="宋体"/>
                <w:sz w:val="18"/>
                <w:szCs w:val="18"/>
              </w:rPr>
            </w:pPr>
            <w:r>
              <w:rPr>
                <w:rFonts w:hint="eastAsia" w:ascii="宋体" w:hAnsi="宋体" w:cs="宋体"/>
                <w:sz w:val="18"/>
                <w:szCs w:val="18"/>
              </w:rPr>
              <w:t>五、出口总额</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textAlignment w:val="center"/>
              <w:rPr>
                <w:rFonts w:ascii="宋体" w:hAnsi="宋体" w:cs="宋体"/>
                <w:sz w:val="18"/>
                <w:szCs w:val="18"/>
              </w:rPr>
            </w:pPr>
            <w:r>
              <w:rPr>
                <w:rFonts w:hint="eastAsia" w:ascii="宋体" w:hAnsi="宋体" w:cs="宋体"/>
                <w:sz w:val="18"/>
                <w:szCs w:val="18"/>
              </w:rPr>
              <w:t>千元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8"/>
                <w:szCs w:val="18"/>
              </w:rPr>
            </w:pPr>
            <w:r>
              <w:rPr>
                <w:rFonts w:ascii="宋体" w:hAnsi="宋体" w:cs="宋体"/>
                <w:sz w:val="18"/>
                <w:szCs w:val="18"/>
              </w:rPr>
              <w:t>YQ05</w:t>
            </w:r>
          </w:p>
        </w:tc>
        <w:tc>
          <w:tcPr>
            <w:tcW w:w="3216" w:type="dxa"/>
            <w:tcBorders>
              <w:top w:val="single" w:color="000000" w:sz="4" w:space="0"/>
              <w:left w:val="single" w:color="000000" w:sz="4" w:space="0"/>
              <w:bottom w:val="single" w:color="000000" w:sz="4" w:space="0"/>
            </w:tcBorders>
            <w:shd w:val="clear" w:color="auto" w:fill="auto"/>
            <w:vAlign w:val="center"/>
          </w:tcPr>
          <w:p>
            <w:pPr>
              <w:spacing w:line="280" w:lineRule="exact"/>
              <w:jc w:val="center"/>
              <w:rPr>
                <w:rFonts w:ascii="宋体" w:hAnsi="宋体" w:cs="宋体"/>
                <w:sz w:val="18"/>
                <w:szCs w:val="18"/>
              </w:rPr>
            </w:pPr>
          </w:p>
        </w:tc>
      </w:tr>
      <w:tr>
        <w:tblPrEx>
          <w:tblLayout w:type="fixed"/>
          <w:tblCellMar>
            <w:top w:w="15" w:type="dxa"/>
            <w:left w:w="15" w:type="dxa"/>
            <w:bottom w:w="15" w:type="dxa"/>
            <w:right w:w="15" w:type="dxa"/>
          </w:tblCellMar>
        </w:tblPrEx>
        <w:trPr>
          <w:trHeight w:val="480" w:hRule="atLeast"/>
          <w:jc w:val="center"/>
        </w:trPr>
        <w:tc>
          <w:tcPr>
            <w:tcW w:w="4191" w:type="dxa"/>
            <w:tcBorders>
              <w:top w:val="single" w:color="000000" w:sz="4" w:space="0"/>
              <w:bottom w:val="single" w:color="000000" w:sz="2" w:space="0"/>
              <w:right w:val="single" w:color="000000" w:sz="4" w:space="0"/>
            </w:tcBorders>
            <w:shd w:val="clear" w:color="auto" w:fill="auto"/>
            <w:vAlign w:val="center"/>
          </w:tcPr>
          <w:p>
            <w:pPr>
              <w:spacing w:line="280" w:lineRule="exact"/>
              <w:textAlignment w:val="center"/>
              <w:rPr>
                <w:rFonts w:ascii="宋体" w:hAnsi="宋体" w:cs="宋体"/>
                <w:sz w:val="18"/>
                <w:szCs w:val="18"/>
              </w:rPr>
            </w:pPr>
            <w:r>
              <w:rPr>
                <w:rFonts w:hint="eastAsia" w:ascii="宋体" w:hAnsi="宋体" w:cs="宋体"/>
                <w:sz w:val="18"/>
                <w:szCs w:val="18"/>
              </w:rPr>
              <w:t>六、从业人员期末数</w:t>
            </w:r>
          </w:p>
        </w:tc>
        <w:tc>
          <w:tcPr>
            <w:tcW w:w="1166" w:type="dxa"/>
            <w:tcBorders>
              <w:top w:val="single" w:color="000000" w:sz="4" w:space="0"/>
              <w:left w:val="single" w:color="000000" w:sz="4" w:space="0"/>
              <w:bottom w:val="single" w:color="000000" w:sz="2" w:space="0"/>
              <w:right w:val="single" w:color="000000" w:sz="4" w:space="0"/>
            </w:tcBorders>
            <w:shd w:val="clear" w:color="auto" w:fill="auto"/>
            <w:vAlign w:val="center"/>
          </w:tcPr>
          <w:p>
            <w:pPr>
              <w:spacing w:line="280" w:lineRule="exact"/>
              <w:jc w:val="center"/>
              <w:textAlignment w:val="center"/>
              <w:rPr>
                <w:rFonts w:ascii="宋体" w:hAnsi="宋体" w:cs="宋体"/>
                <w:sz w:val="18"/>
                <w:szCs w:val="18"/>
              </w:rPr>
            </w:pPr>
            <w:r>
              <w:rPr>
                <w:rFonts w:hint="eastAsia" w:ascii="宋体" w:hAnsi="宋体" w:cs="宋体"/>
                <w:sz w:val="18"/>
                <w:szCs w:val="18"/>
              </w:rPr>
              <w:t>人</w:t>
            </w:r>
          </w:p>
        </w:tc>
        <w:tc>
          <w:tcPr>
            <w:tcW w:w="951" w:type="dxa"/>
            <w:tcBorders>
              <w:top w:val="single" w:color="000000" w:sz="4" w:space="0"/>
              <w:left w:val="single" w:color="000000" w:sz="4" w:space="0"/>
              <w:bottom w:val="single" w:color="000000" w:sz="2" w:space="0"/>
              <w:right w:val="single" w:color="000000" w:sz="4" w:space="0"/>
            </w:tcBorders>
            <w:shd w:val="clear" w:color="auto" w:fill="auto"/>
            <w:vAlign w:val="center"/>
          </w:tcPr>
          <w:p>
            <w:pPr>
              <w:spacing w:line="280" w:lineRule="exact"/>
              <w:jc w:val="center"/>
              <w:rPr>
                <w:rFonts w:ascii="宋体" w:hAnsi="宋体" w:cs="宋体"/>
                <w:sz w:val="18"/>
                <w:szCs w:val="18"/>
              </w:rPr>
            </w:pPr>
            <w:r>
              <w:rPr>
                <w:rFonts w:ascii="宋体" w:hAnsi="宋体" w:cs="宋体"/>
                <w:sz w:val="18"/>
                <w:szCs w:val="18"/>
              </w:rPr>
              <w:t>YQ06</w:t>
            </w:r>
          </w:p>
        </w:tc>
        <w:tc>
          <w:tcPr>
            <w:tcW w:w="3216" w:type="dxa"/>
            <w:tcBorders>
              <w:top w:val="single" w:color="000000" w:sz="4" w:space="0"/>
              <w:left w:val="single" w:color="000000" w:sz="4" w:space="0"/>
              <w:bottom w:val="single" w:color="000000" w:sz="2" w:space="0"/>
            </w:tcBorders>
            <w:shd w:val="clear" w:color="auto" w:fill="auto"/>
            <w:vAlign w:val="center"/>
          </w:tcPr>
          <w:p>
            <w:pPr>
              <w:spacing w:line="280" w:lineRule="exact"/>
              <w:jc w:val="center"/>
              <w:rPr>
                <w:rFonts w:ascii="宋体" w:hAnsi="宋体" w:cs="宋体"/>
                <w:sz w:val="18"/>
                <w:szCs w:val="18"/>
              </w:rPr>
            </w:pPr>
          </w:p>
        </w:tc>
      </w:tr>
      <w:tr>
        <w:tblPrEx>
          <w:tblLayout w:type="fixed"/>
          <w:tblCellMar>
            <w:top w:w="15" w:type="dxa"/>
            <w:left w:w="15" w:type="dxa"/>
            <w:bottom w:w="15" w:type="dxa"/>
            <w:right w:w="15" w:type="dxa"/>
          </w:tblCellMar>
        </w:tblPrEx>
        <w:trPr>
          <w:trHeight w:val="480" w:hRule="atLeast"/>
          <w:jc w:val="center"/>
        </w:trPr>
        <w:tc>
          <w:tcPr>
            <w:tcW w:w="9524" w:type="dxa"/>
            <w:gridSpan w:val="4"/>
            <w:tcBorders>
              <w:top w:val="single" w:color="000000" w:sz="2" w:space="0"/>
              <w:bottom w:val="single" w:color="auto" w:sz="8" w:space="0"/>
            </w:tcBorders>
            <w:shd w:val="clear" w:color="auto" w:fill="auto"/>
            <w:vAlign w:val="center"/>
          </w:tcPr>
          <w:p>
            <w:pPr>
              <w:snapToGrid w:val="0"/>
              <w:spacing w:line="280" w:lineRule="exact"/>
              <w:ind w:firstLine="270" w:firstLineChars="150"/>
              <w:jc w:val="left"/>
              <w:rPr>
                <w:rFonts w:ascii="宋体" w:hAnsi="宋体" w:cs="宋体"/>
                <w:sz w:val="18"/>
                <w:szCs w:val="18"/>
              </w:rPr>
            </w:pPr>
            <w:r>
              <w:rPr>
                <w:rFonts w:hint="eastAsia" w:ascii="宋体" w:hAnsi="宋体"/>
                <w:sz w:val="18"/>
                <w:szCs w:val="18"/>
              </w:rPr>
              <w:t>综合填报单位地址：                                         邮编</w:t>
            </w:r>
            <w:r>
              <w:rPr>
                <w:rFonts w:ascii="宋体" w:hAnsi="宋体"/>
                <w:sz w:val="18"/>
                <w:szCs w:val="18"/>
              </w:rPr>
              <w:t>(sPost)：</w:t>
            </w:r>
            <w:r>
              <w:rPr>
                <w:rFonts w:hint="eastAsia" w:ascii="宋体" w:hAnsi="宋体" w:cs="宋体"/>
                <w:sz w:val="18"/>
                <w:szCs w:val="18"/>
              </w:rPr>
              <w:t xml:space="preserve"> </w:t>
            </w:r>
          </w:p>
          <w:p>
            <w:pPr>
              <w:spacing w:line="280" w:lineRule="exact"/>
              <w:jc w:val="left"/>
              <w:rPr>
                <w:rFonts w:ascii="宋体" w:hAnsi="宋体" w:cs="宋体"/>
                <w:sz w:val="18"/>
                <w:szCs w:val="18"/>
              </w:rPr>
            </w:pPr>
            <w:r>
              <w:rPr>
                <w:rFonts w:ascii="宋体" w:hAnsi="宋体" w:cs="宋体"/>
                <w:sz w:val="18"/>
                <w:szCs w:val="18"/>
              </w:rPr>
              <w:t xml:space="preserve">   联系电话：                                                 传真：</w:t>
            </w:r>
          </w:p>
        </w:tc>
      </w:tr>
    </w:tbl>
    <w:p>
      <w:pPr>
        <w:snapToGrid w:val="0"/>
        <w:spacing w:line="280" w:lineRule="exact"/>
        <w:jc w:val="left"/>
        <w:rPr>
          <w:rFonts w:ascii="宋体" w:hAnsi="宋体"/>
          <w:sz w:val="18"/>
          <w:szCs w:val="18"/>
        </w:rPr>
      </w:pPr>
      <w:r>
        <w:rPr>
          <w:rFonts w:hint="eastAsia" w:ascii="宋体" w:hAnsi="宋体"/>
          <w:sz w:val="18"/>
          <w:szCs w:val="18"/>
        </w:rPr>
        <w:t>单位</w:t>
      </w:r>
      <w:r>
        <w:rPr>
          <w:rFonts w:ascii="宋体" w:hAnsi="宋体"/>
          <w:sz w:val="18"/>
          <w:szCs w:val="18"/>
        </w:rPr>
        <w:t xml:space="preserve">负责人：                                填表人:                   报出日期:20  </w:t>
      </w:r>
      <w:r>
        <w:rPr>
          <w:rFonts w:hint="eastAsia" w:ascii="宋体" w:hAnsi="宋体"/>
          <w:sz w:val="18"/>
          <w:szCs w:val="18"/>
        </w:rPr>
        <w:t>年月日</w:t>
      </w:r>
    </w:p>
    <w:p>
      <w:pPr>
        <w:adjustRightInd w:val="0"/>
        <w:spacing w:line="280" w:lineRule="exact"/>
        <w:ind w:left="210" w:leftChars="100"/>
        <w:rPr>
          <w:rFonts w:ascii="宋体"/>
          <w:sz w:val="18"/>
        </w:rPr>
      </w:pPr>
    </w:p>
    <w:p>
      <w:pPr>
        <w:adjustRightInd w:val="0"/>
        <w:spacing w:line="280" w:lineRule="exact"/>
        <w:rPr>
          <w:rFonts w:ascii="宋体" w:hAnsi="宋体"/>
          <w:kern w:val="0"/>
          <w:sz w:val="18"/>
          <w:szCs w:val="18"/>
        </w:rPr>
      </w:pPr>
      <w:r>
        <w:rPr>
          <w:rFonts w:hint="eastAsia" w:ascii="宋体"/>
          <w:sz w:val="18"/>
        </w:rPr>
        <w:t>说明：</w:t>
      </w:r>
      <w:r>
        <w:rPr>
          <w:rFonts w:ascii="宋体" w:hAnsi="宋体"/>
          <w:kern w:val="0"/>
          <w:sz w:val="18"/>
          <w:szCs w:val="18"/>
        </w:rPr>
        <w:t>1.</w:t>
      </w:r>
      <w:r>
        <w:rPr>
          <w:rFonts w:hint="eastAsia" w:ascii="宋体" w:hAnsi="宋体"/>
          <w:kern w:val="0"/>
          <w:sz w:val="18"/>
          <w:szCs w:val="18"/>
        </w:rPr>
        <w:t>本表为跨月报，每年上报</w:t>
      </w:r>
      <w:r>
        <w:rPr>
          <w:rFonts w:ascii="宋体" w:hAnsi="宋体"/>
          <w:kern w:val="0"/>
          <w:sz w:val="18"/>
          <w:szCs w:val="18"/>
        </w:rPr>
        <w:t xml:space="preserve">5月、8月两个月的月报，分别填报1-5月和1-8月高企的经济运行情况。 </w:t>
      </w:r>
    </w:p>
    <w:p>
      <w:pPr>
        <w:adjustRightInd w:val="0"/>
        <w:spacing w:line="280" w:lineRule="exact"/>
        <w:ind w:left="525" w:leftChars="250"/>
        <w:rPr>
          <w:rFonts w:ascii="宋体" w:hAnsi="宋体"/>
          <w:kern w:val="0"/>
          <w:sz w:val="18"/>
          <w:szCs w:val="18"/>
        </w:rPr>
      </w:pPr>
      <w:r>
        <w:rPr>
          <w:rFonts w:ascii="宋体" w:hAnsi="宋体"/>
          <w:kern w:val="0"/>
          <w:sz w:val="18"/>
          <w:szCs w:val="18"/>
        </w:rPr>
        <w:t>2.</w:t>
      </w:r>
      <w:r>
        <w:rPr>
          <w:rFonts w:hint="eastAsia" w:ascii="宋体" w:hAnsi="宋体"/>
          <w:kern w:val="0"/>
          <w:sz w:val="18"/>
          <w:szCs w:val="18"/>
        </w:rPr>
        <w:t>填报范围</w:t>
      </w:r>
      <w:r>
        <w:rPr>
          <w:rFonts w:ascii="宋体" w:hAnsi="宋体"/>
          <w:kern w:val="0"/>
          <w:sz w:val="18"/>
          <w:szCs w:val="18"/>
        </w:rPr>
        <w:t>：</w:t>
      </w:r>
      <w:r>
        <w:rPr>
          <w:rFonts w:hint="eastAsia" w:ascii="宋体" w:hAnsi="宋体"/>
          <w:kern w:val="0"/>
          <w:sz w:val="18"/>
          <w:szCs w:val="18"/>
        </w:rPr>
        <w:t>各省、自治区、直辖市、科技厅（委）报送</w:t>
      </w:r>
      <w:r>
        <w:rPr>
          <w:rFonts w:hint="eastAsia" w:ascii="宋体" w:hAnsi="宋体"/>
          <w:sz w:val="18"/>
        </w:rPr>
        <w:t>经各地方高新技术企业认定管理机构认定，</w:t>
      </w:r>
      <w:r>
        <w:rPr>
          <w:rFonts w:hint="eastAsia" w:ascii="宋体" w:hAnsi="宋体"/>
          <w:kern w:val="0"/>
          <w:sz w:val="18"/>
          <w:szCs w:val="18"/>
        </w:rPr>
        <w:t>并经全国高新技术企业认定管理工作领导小组备案</w:t>
      </w:r>
      <w:r>
        <w:rPr>
          <w:rFonts w:ascii="宋体" w:hAnsi="宋体"/>
          <w:kern w:val="0"/>
          <w:sz w:val="18"/>
          <w:szCs w:val="18"/>
        </w:rPr>
        <w:t>，</w:t>
      </w:r>
      <w:r>
        <w:rPr>
          <w:rFonts w:hint="eastAsia" w:ascii="宋体" w:hAnsi="宋体"/>
          <w:kern w:val="0"/>
          <w:sz w:val="18"/>
          <w:szCs w:val="18"/>
        </w:rPr>
        <w:t>获得高新技术企业证书，且证书于报告期年底尚在有效期内的企业综合</w:t>
      </w:r>
      <w:r>
        <w:rPr>
          <w:rFonts w:ascii="宋体" w:hAnsi="宋体"/>
          <w:kern w:val="0"/>
          <w:sz w:val="18"/>
          <w:szCs w:val="18"/>
        </w:rPr>
        <w:t>情况。</w:t>
      </w:r>
    </w:p>
    <w:p>
      <w:pPr>
        <w:adjustRightInd w:val="0"/>
        <w:spacing w:line="280" w:lineRule="exact"/>
        <w:ind w:left="525" w:leftChars="250"/>
        <w:rPr>
          <w:rFonts w:ascii="宋体"/>
          <w:sz w:val="18"/>
        </w:rPr>
      </w:pPr>
      <w:r>
        <w:rPr>
          <w:rFonts w:ascii="宋体"/>
          <w:kern w:val="0"/>
          <w:sz w:val="18"/>
          <w:szCs w:val="21"/>
        </w:rPr>
        <w:t>3.</w:t>
      </w:r>
      <w:r>
        <w:rPr>
          <w:rFonts w:hint="eastAsia" w:ascii="宋体"/>
          <w:sz w:val="18"/>
        </w:rPr>
        <w:t>报送</w:t>
      </w:r>
      <w:r>
        <w:rPr>
          <w:rFonts w:hint="eastAsia" w:ascii="宋体" w:hAnsi="宋体"/>
          <w:kern w:val="0"/>
          <w:sz w:val="18"/>
          <w:szCs w:val="18"/>
        </w:rPr>
        <w:t>日期</w:t>
      </w:r>
      <w:r>
        <w:rPr>
          <w:rFonts w:hint="eastAsia" w:ascii="宋体"/>
          <w:sz w:val="18"/>
        </w:rPr>
        <w:t>及方式：</w:t>
      </w:r>
    </w:p>
    <w:p>
      <w:pPr>
        <w:adjustRightInd w:val="0"/>
        <w:spacing w:line="280" w:lineRule="exact"/>
        <w:ind w:left="525" w:leftChars="250"/>
        <w:rPr>
          <w:rFonts w:ascii="宋体" w:hAnsi="宋体"/>
          <w:kern w:val="0"/>
          <w:sz w:val="18"/>
          <w:szCs w:val="18"/>
        </w:rPr>
      </w:pPr>
      <w:r>
        <w:rPr>
          <w:rFonts w:hint="eastAsia" w:ascii="宋体"/>
          <w:sz w:val="18"/>
        </w:rPr>
        <w:t>本表请于报告期次月10日前（即5月报于6月10日前，8月报于9月10日前）将审核过的报表报送至各市科技局，市科技局汇总后报送至省科技厅。</w:t>
      </w:r>
    </w:p>
    <w:p>
      <w:pPr>
        <w:adjustRightInd w:val="0"/>
        <w:spacing w:line="280" w:lineRule="exact"/>
        <w:ind w:left="525" w:leftChars="250"/>
        <w:rPr>
          <w:rFonts w:ascii="宋体" w:hAnsi="宋体"/>
          <w:kern w:val="0"/>
          <w:sz w:val="18"/>
          <w:szCs w:val="18"/>
        </w:rPr>
      </w:pPr>
      <w:r>
        <w:rPr>
          <w:rFonts w:ascii="宋体"/>
          <w:sz w:val="18"/>
        </w:rPr>
        <w:t>4.</w:t>
      </w:r>
      <w:r>
        <w:rPr>
          <w:rFonts w:hint="eastAsia" w:ascii="宋体"/>
          <w:sz w:val="18"/>
        </w:rPr>
        <w:t>审核</w:t>
      </w:r>
      <w:r>
        <w:rPr>
          <w:rFonts w:ascii="宋体" w:hAnsi="宋体"/>
          <w:kern w:val="0"/>
          <w:sz w:val="18"/>
          <w:szCs w:val="18"/>
        </w:rPr>
        <w:t>关系</w:t>
      </w:r>
      <w:r>
        <w:rPr>
          <w:rFonts w:hint="eastAsia" w:ascii="宋体" w:hAnsi="宋体"/>
          <w:kern w:val="0"/>
          <w:sz w:val="18"/>
          <w:szCs w:val="18"/>
        </w:rPr>
        <w:t>：</w:t>
      </w:r>
      <w:r>
        <w:rPr>
          <w:rFonts w:hint="eastAsia" w:ascii="宋体"/>
          <w:sz w:val="18"/>
        </w:rPr>
        <w:t>（1）YQ02</w:t>
      </w:r>
      <w:r>
        <w:rPr>
          <w:rFonts w:hint="eastAsia" w:ascii="宋体" w:hAnsi="宋体"/>
          <w:sz w:val="18"/>
        </w:rPr>
        <w:t>≥</w:t>
      </w:r>
      <w:r>
        <w:rPr>
          <w:rFonts w:ascii="宋体"/>
          <w:sz w:val="18"/>
        </w:rPr>
        <w:t xml:space="preserve">YQ02_1     </w:t>
      </w:r>
      <w:r>
        <w:rPr>
          <w:rFonts w:hint="eastAsia" w:ascii="宋体"/>
          <w:sz w:val="18"/>
        </w:rPr>
        <w:t>（2）YQ02</w:t>
      </w:r>
      <w:r>
        <w:rPr>
          <w:rFonts w:hint="eastAsia" w:ascii="宋体" w:hAnsi="宋体"/>
          <w:sz w:val="18"/>
        </w:rPr>
        <w:t>≥</w:t>
      </w:r>
      <w:r>
        <w:rPr>
          <w:rFonts w:ascii="宋体"/>
          <w:sz w:val="18"/>
        </w:rPr>
        <w:t>YQ05</w:t>
      </w:r>
    </w:p>
    <w:p>
      <w:pPr>
        <w:spacing w:line="280" w:lineRule="exact"/>
        <w:ind w:firstLine="450"/>
        <w:rPr>
          <w:rFonts w:ascii="宋体"/>
          <w:sz w:val="18"/>
          <w:szCs w:val="18"/>
        </w:rPr>
      </w:pPr>
    </w:p>
    <w:p>
      <w:pPr>
        <w:spacing w:line="280" w:lineRule="exact"/>
        <w:ind w:firstLine="450"/>
        <w:rPr>
          <w:rFonts w:ascii="宋体"/>
          <w:sz w:val="18"/>
          <w:szCs w:val="18"/>
        </w:rPr>
      </w:pPr>
    </w:p>
    <w:p>
      <w:pPr>
        <w:spacing w:line="280" w:lineRule="exact"/>
        <w:jc w:val="center"/>
        <w:rPr>
          <w:rFonts w:ascii="宋体"/>
          <w:sz w:val="18"/>
          <w:szCs w:val="18"/>
        </w:rPr>
      </w:pPr>
    </w:p>
    <w:p>
      <w:pPr>
        <w:spacing w:line="280" w:lineRule="exact"/>
        <w:ind w:right="1835" w:rightChars="874"/>
        <w:jc w:val="right"/>
        <w:rPr>
          <w:rFonts w:ascii="宋体"/>
          <w:sz w:val="18"/>
          <w:szCs w:val="18"/>
        </w:rPr>
      </w:pPr>
      <w:r>
        <w:rPr>
          <w:rFonts w:hint="eastAsia" w:ascii="宋体" w:hAnsi="宋体"/>
          <w:sz w:val="18"/>
          <w:szCs w:val="18"/>
        </w:rPr>
        <w:t>领导签字（</w:t>
      </w:r>
      <w:r>
        <w:rPr>
          <w:rFonts w:hint="eastAsia" w:ascii="宋体"/>
          <w:sz w:val="18"/>
          <w:szCs w:val="18"/>
        </w:rPr>
        <w:t xml:space="preserve">Charger）：  </w:t>
      </w:r>
    </w:p>
    <w:p>
      <w:pPr>
        <w:spacing w:line="280" w:lineRule="exact"/>
        <w:ind w:right="1835" w:rightChars="874"/>
        <w:jc w:val="right"/>
        <w:rPr>
          <w:rFonts w:ascii="宋体"/>
          <w:sz w:val="18"/>
          <w:szCs w:val="18"/>
        </w:rPr>
      </w:pPr>
      <w:r>
        <w:rPr>
          <w:rFonts w:hint="eastAsia" w:ascii="宋体" w:hAnsi="宋体"/>
          <w:sz w:val="18"/>
          <w:szCs w:val="18"/>
        </w:rPr>
        <w:t>填报单位名称：</w:t>
      </w:r>
    </w:p>
    <w:p>
      <w:pPr>
        <w:spacing w:line="280" w:lineRule="exact"/>
        <w:ind w:right="1835" w:rightChars="874"/>
        <w:jc w:val="right"/>
        <w:rPr>
          <w:rFonts w:ascii="宋体"/>
          <w:sz w:val="18"/>
          <w:szCs w:val="18"/>
        </w:rPr>
      </w:pPr>
      <w:r>
        <w:rPr>
          <w:rFonts w:hint="eastAsia" w:ascii="宋体" w:hAnsi="宋体"/>
          <w:sz w:val="18"/>
          <w:szCs w:val="18"/>
        </w:rPr>
        <w:t>（加盖公章</w:t>
      </w:r>
      <w:r>
        <w:rPr>
          <w:rFonts w:ascii="宋体"/>
          <w:sz w:val="18"/>
          <w:szCs w:val="18"/>
        </w:rPr>
        <w:t xml:space="preserve"> )                   </w:t>
      </w:r>
    </w:p>
    <w:p>
      <w:pPr>
        <w:ind w:right="1835" w:rightChars="874"/>
        <w:jc w:val="right"/>
        <w:rPr>
          <w:rFonts w:hint="eastAsia" w:ascii="宋体" w:hAnsi="宋体"/>
        </w:rPr>
      </w:pPr>
      <w:r>
        <w:rPr>
          <w:rFonts w:hint="eastAsia" w:ascii="宋体" w:hAnsi="宋体"/>
        </w:rPr>
        <w:t>年  月  日</w:t>
      </w:r>
      <w:bookmarkStart w:id="7" w:name="_Toc530752917"/>
      <w:bookmarkStart w:id="8" w:name="_Toc525748085"/>
    </w:p>
    <w:p>
      <w:pPr>
        <w:ind w:right="1835" w:rightChars="874"/>
        <w:jc w:val="right"/>
        <w:rPr>
          <w:rFonts w:ascii="宋体" w:hAnsi="宋体"/>
        </w:rPr>
      </w:pPr>
    </w:p>
    <w:p>
      <w:pPr>
        <w:pStyle w:val="4"/>
        <w:rPr>
          <w:b w:val="0"/>
        </w:rPr>
      </w:pPr>
      <w:r>
        <w:rPr>
          <w:rFonts w:hint="eastAsia"/>
          <w:b w:val="0"/>
        </w:rPr>
        <w:t>表GQYB-01</w:t>
      </w:r>
      <w:bookmarkEnd w:id="7"/>
      <w:bookmarkEnd w:id="8"/>
      <w:r>
        <w:rPr>
          <w:rFonts w:hint="eastAsia"/>
          <w:b w:val="0"/>
        </w:rPr>
        <w:t>指标解释</w:t>
      </w:r>
    </w:p>
    <w:p>
      <w:pPr>
        <w:spacing w:line="400" w:lineRule="exact"/>
        <w:ind w:firstLine="420" w:firstLineChars="200"/>
        <w:rPr>
          <w:rFonts w:ascii="宋体" w:hAnsi="宋体"/>
          <w:szCs w:val="21"/>
        </w:rPr>
      </w:pPr>
      <w:r>
        <w:rPr>
          <w:rFonts w:hint="eastAsia" w:ascii="黑体" w:hAnsi="黑体" w:eastAsia="黑体"/>
          <w:szCs w:val="21"/>
        </w:rPr>
        <w:t>高新技术企业</w:t>
      </w:r>
      <w:r>
        <w:rPr>
          <w:rFonts w:ascii="宋体" w:hAnsi="宋体"/>
          <w:szCs w:val="21"/>
        </w:rPr>
        <w:t xml:space="preserve"> 是指经各地方高新技术企业认定管理机构认定，并经全国高新技术企业认定管理工作领导小组备案，</w:t>
      </w:r>
      <w:r>
        <w:rPr>
          <w:rFonts w:hint="eastAsia" w:ascii="宋体" w:hAnsi="宋体"/>
          <w:szCs w:val="21"/>
        </w:rPr>
        <w:t>获得高新技术企业证书，且证书于报告期年底尚在有效期内的企业。</w:t>
      </w:r>
    </w:p>
    <w:p>
      <w:pPr>
        <w:spacing w:line="400" w:lineRule="exact"/>
        <w:ind w:firstLine="420" w:firstLineChars="200"/>
        <w:rPr>
          <w:rFonts w:ascii="宋体" w:hAnsi="宋体"/>
          <w:szCs w:val="21"/>
        </w:rPr>
      </w:pPr>
      <w:r>
        <w:rPr>
          <w:rFonts w:hint="eastAsia" w:ascii="黑体" w:hAnsi="黑体" w:eastAsia="黑体"/>
          <w:szCs w:val="21"/>
        </w:rPr>
        <w:t>营业收入</w:t>
      </w:r>
      <w:r>
        <w:rPr>
          <w:rFonts w:ascii="宋体" w:hAnsi="宋体"/>
          <w:szCs w:val="21"/>
        </w:rPr>
        <w:t xml:space="preserve"> 指企业经营主要业务和其他业务所确认的收入总额。营业收入合计包括“主营业务收入”和“其他业务收入”。根据会计“利润表”中“营业收入”项目的本期金额数填报。</w:t>
      </w:r>
    </w:p>
    <w:p>
      <w:pPr>
        <w:spacing w:line="400" w:lineRule="exact"/>
        <w:ind w:firstLine="420" w:firstLineChars="200"/>
        <w:rPr>
          <w:rFonts w:ascii="宋体" w:hAnsi="宋体"/>
          <w:szCs w:val="21"/>
        </w:rPr>
      </w:pPr>
      <w:r>
        <w:rPr>
          <w:rFonts w:hint="eastAsia" w:ascii="黑体" w:hAnsi="黑体" w:eastAsia="黑体"/>
          <w:bCs/>
          <w:szCs w:val="21"/>
        </w:rPr>
        <w:t>主营业务收入</w:t>
      </w:r>
      <w:r>
        <w:rPr>
          <w:rFonts w:ascii="宋体" w:hAnsi="宋体"/>
        </w:rPr>
        <w:t xml:space="preserve">  指企业确认的销售商品、提供劳务等主营业务的收入。根据会计“主营业务收入”科目本年各月贷方余额（结转前）之和填报。如未设置该科目，以“营业收入”代替填报。</w:t>
      </w:r>
    </w:p>
    <w:p>
      <w:pPr>
        <w:spacing w:line="400" w:lineRule="exact"/>
        <w:ind w:firstLine="420" w:firstLineChars="200"/>
        <w:rPr>
          <w:rFonts w:ascii="宋体" w:hAnsi="宋体"/>
        </w:rPr>
      </w:pPr>
      <w:r>
        <w:rPr>
          <w:rFonts w:hint="eastAsia" w:ascii="黑体" w:hAnsi="黑体" w:eastAsia="黑体"/>
          <w:szCs w:val="21"/>
        </w:rPr>
        <w:t>利润总额</w:t>
      </w:r>
      <w:r>
        <w:rPr>
          <w:rFonts w:hint="eastAsia" w:ascii="宋体" w:hAnsi="宋体"/>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pPr>
        <w:spacing w:line="400" w:lineRule="exact"/>
        <w:ind w:firstLine="420" w:firstLineChars="200"/>
        <w:rPr>
          <w:rFonts w:ascii="宋体" w:hAnsi="宋体"/>
          <w:szCs w:val="21"/>
        </w:rPr>
      </w:pPr>
      <w:r>
        <w:rPr>
          <w:rFonts w:hint="eastAsia" w:ascii="黑体" w:hAnsi="黑体" w:eastAsia="黑体"/>
          <w:szCs w:val="21"/>
        </w:rPr>
        <w:t>工业总产值</w:t>
      </w:r>
      <w:r>
        <w:rPr>
          <w:rFonts w:ascii="宋体" w:hAnsi="宋体"/>
          <w:szCs w:val="21"/>
        </w:rPr>
        <w:t xml:space="preserve">  指工业企业在报告期内生产的以货币形式表现的工业最终产品和提供工业劳务活动的总价值量。</w:t>
      </w:r>
    </w:p>
    <w:p>
      <w:pPr>
        <w:spacing w:line="400" w:lineRule="exact"/>
        <w:ind w:firstLine="420" w:firstLineChars="200"/>
        <w:rPr>
          <w:rFonts w:ascii="宋体" w:hAnsi="宋体"/>
        </w:rPr>
      </w:pPr>
      <w:r>
        <w:rPr>
          <w:rFonts w:hint="eastAsia" w:ascii="黑体" w:hAnsi="黑体" w:eastAsia="黑体"/>
          <w:bCs/>
          <w:szCs w:val="21"/>
        </w:rPr>
        <w:t>出口总额</w:t>
      </w:r>
      <w:r>
        <w:rPr>
          <w:rFonts w:ascii="宋体" w:hAnsi="宋体"/>
        </w:rPr>
        <w:t xml:space="preserve">  指指实际输出我国国境的货物和服务总金额。包括对外贸易实际出口的产品、商品、出售给境外企业的技术或者为外商提供服务获得收益的总金额。包括外商来样、来料加工、来件装配和补偿贸易等生产的产品价值，以及对境外技术合同或者服务实现金额。</w:t>
      </w:r>
    </w:p>
    <w:p>
      <w:pPr>
        <w:spacing w:line="400" w:lineRule="exact"/>
        <w:ind w:firstLine="420" w:firstLineChars="200"/>
        <w:rPr>
          <w:rFonts w:ascii="宋体" w:hAnsi="宋体"/>
          <w:szCs w:val="21"/>
        </w:rPr>
      </w:pPr>
      <w:r>
        <w:rPr>
          <w:rFonts w:hint="eastAsia" w:ascii="黑体" w:hAnsi="黑体" w:eastAsia="黑体"/>
          <w:szCs w:val="21"/>
        </w:rPr>
        <w:t>从业人员</w:t>
      </w:r>
      <w:r>
        <w:rPr>
          <w:rFonts w:ascii="宋体" w:hAnsi="宋体"/>
          <w:szCs w:val="21"/>
        </w:rPr>
        <w:t xml:space="preserve">  指期末最后一日24时在本单位中工作，并取得工资或其他形式劳动报酬的人员数。该指标为时点指标，不包括最后一日当天及以前已经与单位解除劳动合同关系的人员，是在岗职工、劳务派遣人员及其他从业人员之和。从业人员不包括：</w:t>
      </w:r>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1）离开本单位仍保留劳动关系，并定期领取生活费的人员；</w:t>
      </w:r>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 xml:space="preserve">2）利用课余时间打工的学生及在本单位实习的各类在校学生； </w:t>
      </w:r>
    </w:p>
    <w:p>
      <w:pPr>
        <w:widowControl/>
        <w:spacing w:line="280" w:lineRule="atLeast"/>
        <w:ind w:right="450"/>
        <w:jc w:val="center"/>
        <w:rPr>
          <w:rFonts w:ascii="仿宋_GB2312" w:hAnsi="宋体" w:eastAsia="仿宋_GB2312" w:cs="宋体"/>
          <w:color w:val="000000"/>
          <w:kern w:val="0"/>
          <w:sz w:val="32"/>
          <w:szCs w:val="32"/>
        </w:rPr>
      </w:pPr>
      <w:r>
        <w:rPr>
          <w:rFonts w:hint="eastAsia" w:ascii="宋体" w:hAnsi="宋体"/>
          <w:szCs w:val="21"/>
        </w:rPr>
        <w:t>（</w:t>
      </w:r>
      <w:r>
        <w:rPr>
          <w:rFonts w:ascii="宋体" w:hAnsi="宋体"/>
          <w:szCs w:val="21"/>
        </w:rPr>
        <w:t>3）本单位因劳务外包而使用的人员，如：建筑业整建制使用的人员。</w:t>
      </w:r>
    </w:p>
    <w:sectPr>
      <w:headerReference r:id="rId3" w:type="default"/>
      <w:footerReference r:id="rId4" w:type="default"/>
      <w:footerReference r:id="rId5" w:type="even"/>
      <w:pgSz w:w="11906" w:h="16838"/>
      <w:pgMar w:top="1440" w:right="1466"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615E"/>
    <w:rsid w:val="00020D9D"/>
    <w:rsid w:val="00041FCD"/>
    <w:rsid w:val="0004530E"/>
    <w:rsid w:val="0004730C"/>
    <w:rsid w:val="00050992"/>
    <w:rsid w:val="00070601"/>
    <w:rsid w:val="00070990"/>
    <w:rsid w:val="0008089C"/>
    <w:rsid w:val="000864C8"/>
    <w:rsid w:val="000E45E6"/>
    <w:rsid w:val="00131ECD"/>
    <w:rsid w:val="00132CB1"/>
    <w:rsid w:val="00167913"/>
    <w:rsid w:val="00192930"/>
    <w:rsid w:val="00194447"/>
    <w:rsid w:val="001B006E"/>
    <w:rsid w:val="001C26B7"/>
    <w:rsid w:val="001D615E"/>
    <w:rsid w:val="001E316D"/>
    <w:rsid w:val="001E4109"/>
    <w:rsid w:val="002077B6"/>
    <w:rsid w:val="002219B8"/>
    <w:rsid w:val="00224E7C"/>
    <w:rsid w:val="00225D91"/>
    <w:rsid w:val="00232F82"/>
    <w:rsid w:val="00244DB5"/>
    <w:rsid w:val="0025446E"/>
    <w:rsid w:val="0026292C"/>
    <w:rsid w:val="002711A1"/>
    <w:rsid w:val="002A1927"/>
    <w:rsid w:val="002A649D"/>
    <w:rsid w:val="002C1C31"/>
    <w:rsid w:val="002E6EE1"/>
    <w:rsid w:val="002F2409"/>
    <w:rsid w:val="00310EDD"/>
    <w:rsid w:val="00324463"/>
    <w:rsid w:val="003340D0"/>
    <w:rsid w:val="00366038"/>
    <w:rsid w:val="003669F4"/>
    <w:rsid w:val="00371F81"/>
    <w:rsid w:val="003A49E3"/>
    <w:rsid w:val="003B57EB"/>
    <w:rsid w:val="003D0440"/>
    <w:rsid w:val="003D56B3"/>
    <w:rsid w:val="00401089"/>
    <w:rsid w:val="00401319"/>
    <w:rsid w:val="004037F1"/>
    <w:rsid w:val="00407311"/>
    <w:rsid w:val="004240BB"/>
    <w:rsid w:val="00425054"/>
    <w:rsid w:val="00463000"/>
    <w:rsid w:val="00464838"/>
    <w:rsid w:val="00467392"/>
    <w:rsid w:val="00471E5A"/>
    <w:rsid w:val="00481B7D"/>
    <w:rsid w:val="004835E3"/>
    <w:rsid w:val="004841BE"/>
    <w:rsid w:val="004C6988"/>
    <w:rsid w:val="004D213F"/>
    <w:rsid w:val="004E7213"/>
    <w:rsid w:val="004F4FA2"/>
    <w:rsid w:val="005247BD"/>
    <w:rsid w:val="0054054C"/>
    <w:rsid w:val="00541E74"/>
    <w:rsid w:val="0054662B"/>
    <w:rsid w:val="00551D38"/>
    <w:rsid w:val="00555E85"/>
    <w:rsid w:val="00567297"/>
    <w:rsid w:val="005877E7"/>
    <w:rsid w:val="00592218"/>
    <w:rsid w:val="005A1212"/>
    <w:rsid w:val="005A73F2"/>
    <w:rsid w:val="005B20D6"/>
    <w:rsid w:val="005C3ADF"/>
    <w:rsid w:val="005C7F0B"/>
    <w:rsid w:val="0060290C"/>
    <w:rsid w:val="0060412F"/>
    <w:rsid w:val="00647EE2"/>
    <w:rsid w:val="00663A9A"/>
    <w:rsid w:val="0067019A"/>
    <w:rsid w:val="0068636C"/>
    <w:rsid w:val="00696953"/>
    <w:rsid w:val="006B2C7D"/>
    <w:rsid w:val="006B634F"/>
    <w:rsid w:val="006B7748"/>
    <w:rsid w:val="006C03AB"/>
    <w:rsid w:val="006D442D"/>
    <w:rsid w:val="006D5AA9"/>
    <w:rsid w:val="006E3BB7"/>
    <w:rsid w:val="006E69A0"/>
    <w:rsid w:val="006E7B7E"/>
    <w:rsid w:val="006F08CB"/>
    <w:rsid w:val="0070222C"/>
    <w:rsid w:val="00712E68"/>
    <w:rsid w:val="00714A3E"/>
    <w:rsid w:val="00725FC1"/>
    <w:rsid w:val="00736927"/>
    <w:rsid w:val="00744490"/>
    <w:rsid w:val="0076048D"/>
    <w:rsid w:val="0077351C"/>
    <w:rsid w:val="00783CF8"/>
    <w:rsid w:val="00793619"/>
    <w:rsid w:val="007978FE"/>
    <w:rsid w:val="007A629F"/>
    <w:rsid w:val="007B41B6"/>
    <w:rsid w:val="007B731E"/>
    <w:rsid w:val="007C389E"/>
    <w:rsid w:val="007C5482"/>
    <w:rsid w:val="007C6521"/>
    <w:rsid w:val="007D2331"/>
    <w:rsid w:val="007D698A"/>
    <w:rsid w:val="007E5796"/>
    <w:rsid w:val="007F7737"/>
    <w:rsid w:val="0081640D"/>
    <w:rsid w:val="00836028"/>
    <w:rsid w:val="008427EC"/>
    <w:rsid w:val="00863292"/>
    <w:rsid w:val="00882E1C"/>
    <w:rsid w:val="00883401"/>
    <w:rsid w:val="0089171B"/>
    <w:rsid w:val="008960EE"/>
    <w:rsid w:val="008977E4"/>
    <w:rsid w:val="008B0C68"/>
    <w:rsid w:val="008B2B2F"/>
    <w:rsid w:val="008B4A83"/>
    <w:rsid w:val="008C6BF4"/>
    <w:rsid w:val="008D4A33"/>
    <w:rsid w:val="008D53DE"/>
    <w:rsid w:val="00904229"/>
    <w:rsid w:val="0091461E"/>
    <w:rsid w:val="00922EFC"/>
    <w:rsid w:val="00945612"/>
    <w:rsid w:val="00954BCA"/>
    <w:rsid w:val="00983161"/>
    <w:rsid w:val="009900BC"/>
    <w:rsid w:val="00990A27"/>
    <w:rsid w:val="009A1D77"/>
    <w:rsid w:val="009A2611"/>
    <w:rsid w:val="009A28A0"/>
    <w:rsid w:val="009C368F"/>
    <w:rsid w:val="00A03390"/>
    <w:rsid w:val="00A043FA"/>
    <w:rsid w:val="00A06AD2"/>
    <w:rsid w:val="00A22BF2"/>
    <w:rsid w:val="00A24E75"/>
    <w:rsid w:val="00A33FFE"/>
    <w:rsid w:val="00A46F50"/>
    <w:rsid w:val="00A558DD"/>
    <w:rsid w:val="00A569E7"/>
    <w:rsid w:val="00A660B3"/>
    <w:rsid w:val="00A9012C"/>
    <w:rsid w:val="00AA39D8"/>
    <w:rsid w:val="00AA4264"/>
    <w:rsid w:val="00AB044F"/>
    <w:rsid w:val="00AB2BA7"/>
    <w:rsid w:val="00AC0D16"/>
    <w:rsid w:val="00AC6706"/>
    <w:rsid w:val="00AD7CFA"/>
    <w:rsid w:val="00AE5296"/>
    <w:rsid w:val="00AE6B7C"/>
    <w:rsid w:val="00AF7FF4"/>
    <w:rsid w:val="00B02F69"/>
    <w:rsid w:val="00B0401C"/>
    <w:rsid w:val="00B10EA7"/>
    <w:rsid w:val="00B44283"/>
    <w:rsid w:val="00B47F7D"/>
    <w:rsid w:val="00B666F1"/>
    <w:rsid w:val="00B759CC"/>
    <w:rsid w:val="00B83292"/>
    <w:rsid w:val="00B94AB5"/>
    <w:rsid w:val="00B96C29"/>
    <w:rsid w:val="00BA7A21"/>
    <w:rsid w:val="00BB1287"/>
    <w:rsid w:val="00BB47FC"/>
    <w:rsid w:val="00BC2C86"/>
    <w:rsid w:val="00BC6EEE"/>
    <w:rsid w:val="00BE1D92"/>
    <w:rsid w:val="00BE3B3F"/>
    <w:rsid w:val="00BE5E22"/>
    <w:rsid w:val="00BF1850"/>
    <w:rsid w:val="00C11950"/>
    <w:rsid w:val="00C44AB8"/>
    <w:rsid w:val="00CA52C4"/>
    <w:rsid w:val="00CB01A9"/>
    <w:rsid w:val="00CC1EBE"/>
    <w:rsid w:val="00CC7DA3"/>
    <w:rsid w:val="00CE0867"/>
    <w:rsid w:val="00CE3EF9"/>
    <w:rsid w:val="00CF2AAC"/>
    <w:rsid w:val="00CF456E"/>
    <w:rsid w:val="00CF75A1"/>
    <w:rsid w:val="00D039AD"/>
    <w:rsid w:val="00D07E70"/>
    <w:rsid w:val="00D11D7D"/>
    <w:rsid w:val="00D36AF9"/>
    <w:rsid w:val="00D52784"/>
    <w:rsid w:val="00D669ED"/>
    <w:rsid w:val="00D81D0A"/>
    <w:rsid w:val="00D871C5"/>
    <w:rsid w:val="00D93D6F"/>
    <w:rsid w:val="00DA2F25"/>
    <w:rsid w:val="00DA56F4"/>
    <w:rsid w:val="00DA5E61"/>
    <w:rsid w:val="00DB1508"/>
    <w:rsid w:val="00DD5A3A"/>
    <w:rsid w:val="00DF7423"/>
    <w:rsid w:val="00E0165B"/>
    <w:rsid w:val="00E06948"/>
    <w:rsid w:val="00E22711"/>
    <w:rsid w:val="00E24EB3"/>
    <w:rsid w:val="00E32C55"/>
    <w:rsid w:val="00E45F54"/>
    <w:rsid w:val="00E540F9"/>
    <w:rsid w:val="00E55A44"/>
    <w:rsid w:val="00E73EC2"/>
    <w:rsid w:val="00E77068"/>
    <w:rsid w:val="00E9234E"/>
    <w:rsid w:val="00E94BA6"/>
    <w:rsid w:val="00EE723F"/>
    <w:rsid w:val="00EF1D63"/>
    <w:rsid w:val="00F2049C"/>
    <w:rsid w:val="00F309F0"/>
    <w:rsid w:val="00F50E57"/>
    <w:rsid w:val="00F520B5"/>
    <w:rsid w:val="00F66FA1"/>
    <w:rsid w:val="00FD1251"/>
    <w:rsid w:val="00FD2184"/>
    <w:rsid w:val="00FF79F4"/>
    <w:rsid w:val="1B42784B"/>
    <w:rsid w:val="2E8D12F1"/>
    <w:rsid w:val="451009BE"/>
    <w:rsid w:val="534526E7"/>
    <w:rsid w:val="5C7837FE"/>
    <w:rsid w:val="7ECB22A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360" w:lineRule="exact"/>
      <w:jc w:val="center"/>
      <w:outlineLvl w:val="0"/>
    </w:pPr>
    <w:rPr>
      <w:rFonts w:ascii="宋体" w:eastAsia="黑体"/>
      <w:b/>
      <w:sz w:val="32"/>
    </w:rPr>
  </w:style>
  <w:style w:type="paragraph" w:styleId="3">
    <w:name w:val="heading 2"/>
    <w:basedOn w:val="1"/>
    <w:next w:val="1"/>
    <w:link w:val="17"/>
    <w:qFormat/>
    <w:uiPriority w:val="0"/>
    <w:pPr>
      <w:jc w:val="center"/>
      <w:outlineLvl w:val="1"/>
    </w:pPr>
    <w:rPr>
      <w:rFonts w:ascii="宋体" w:hAnsi="宋体"/>
      <w:sz w:val="32"/>
    </w:rPr>
  </w:style>
  <w:style w:type="paragraph" w:styleId="4">
    <w:name w:val="heading 3"/>
    <w:basedOn w:val="1"/>
    <w:next w:val="1"/>
    <w:link w:val="14"/>
    <w:unhideWhenUsed/>
    <w:qFormat/>
    <w:uiPriority w:val="0"/>
    <w:pPr>
      <w:keepNext/>
      <w:keepLines/>
      <w:spacing w:before="260" w:after="260" w:line="416" w:lineRule="auto"/>
      <w:outlineLvl w:val="2"/>
    </w:pPr>
    <w:rPr>
      <w:b/>
      <w:bCs/>
      <w:sz w:val="32"/>
      <w:szCs w:val="32"/>
    </w:rPr>
  </w:style>
  <w:style w:type="character" w:default="1" w:styleId="9">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5">
    <w:name w:val="Body Text Indent 2"/>
    <w:basedOn w:val="1"/>
    <w:link w:val="16"/>
    <w:qFormat/>
    <w:uiPriority w:val="0"/>
    <w:pPr>
      <w:spacing w:line="280" w:lineRule="exact"/>
      <w:ind w:firstLine="360"/>
    </w:pPr>
    <w:rPr>
      <w:color w:val="FF0000"/>
      <w:sz w:val="18"/>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qFormat/>
    <w:uiPriority w:val="0"/>
    <w:rPr>
      <w:color w:val="000000"/>
      <w:u w:val="none"/>
    </w:rPr>
  </w:style>
  <w:style w:type="paragraph" w:customStyle="1" w:styleId="13">
    <w:name w:val="p0"/>
    <w:basedOn w:val="1"/>
    <w:qFormat/>
    <w:uiPriority w:val="0"/>
    <w:pPr>
      <w:widowControl/>
    </w:pPr>
    <w:rPr>
      <w:kern w:val="0"/>
      <w:szCs w:val="21"/>
    </w:rPr>
  </w:style>
  <w:style w:type="character" w:customStyle="1" w:styleId="14">
    <w:name w:val="标题 3 Char"/>
    <w:basedOn w:val="9"/>
    <w:link w:val="4"/>
    <w:qFormat/>
    <w:uiPriority w:val="0"/>
    <w:rPr>
      <w:b/>
      <w:bCs/>
      <w:kern w:val="2"/>
      <w:sz w:val="32"/>
      <w:szCs w:val="32"/>
    </w:rPr>
  </w:style>
  <w:style w:type="character" w:customStyle="1" w:styleId="15">
    <w:name w:val="正文文本缩进 2 Char"/>
    <w:basedOn w:val="9"/>
    <w:link w:val="5"/>
    <w:qFormat/>
    <w:uiPriority w:val="0"/>
    <w:rPr>
      <w:kern w:val="2"/>
      <w:sz w:val="21"/>
      <w:szCs w:val="24"/>
    </w:rPr>
  </w:style>
  <w:style w:type="character" w:customStyle="1" w:styleId="16">
    <w:name w:val="正文文本缩进 2 Char1"/>
    <w:link w:val="5"/>
    <w:qFormat/>
    <w:uiPriority w:val="0"/>
    <w:rPr>
      <w:color w:val="FF0000"/>
      <w:kern w:val="2"/>
      <w:sz w:val="18"/>
      <w:szCs w:val="24"/>
    </w:rPr>
  </w:style>
  <w:style w:type="character" w:customStyle="1" w:styleId="17">
    <w:name w:val="标题 2 Char"/>
    <w:basedOn w:val="9"/>
    <w:link w:val="3"/>
    <w:qFormat/>
    <w:uiPriority w:val="0"/>
    <w:rPr>
      <w:rFonts w:ascii="宋体" w:hAnsi="宋体"/>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2ABA48-2487-4039-AE44-8E9829383B1C}">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10</Pages>
  <Words>823</Words>
  <Characters>4697</Characters>
  <Lines>39</Lines>
  <Paragraphs>11</Paragraphs>
  <ScaleCrop>false</ScaleCrop>
  <LinksUpToDate>false</LinksUpToDate>
  <CharactersWithSpaces>5509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2018-12-27T11:12:00Z</dcterms:created>
  <dc:creator>kj</dc:creator>
  <cp:lastModifiedBy>hp</cp:lastModifiedBy>
  <cp:lastPrinted>2019-01-07T09:49:00Z</cp:lastPrinted>
  <dcterms:modified xsi:type="dcterms:W3CDTF">2019-01-08T07:08:55Z</dcterms:modified>
  <dc:title>各有关单位：</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