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spacing w:beforeLines="0" w:afterLines="0" w:line="600" w:lineRule="exact"/>
        <w:textAlignment w:val="auto"/>
        <w:rPr>
          <w:rFonts w:ascii="仿宋_GB2312" w:hAnsi="宋体" w:eastAsia="仿宋_GB2312" w:cs="宋体"/>
          <w:color w:val="000000"/>
          <w:kern w:val="0"/>
          <w:sz w:val="30"/>
          <w:szCs w:val="30"/>
        </w:rPr>
      </w:pPr>
    </w:p>
    <w:p>
      <w:pPr>
        <w:keepNext w:val="0"/>
        <w:keepLines w:val="0"/>
        <w:pageBreakBefore w:val="0"/>
        <w:widowControl/>
        <w:kinsoku/>
        <w:overflowPunct/>
        <w:topLinePunct w:val="0"/>
        <w:autoSpaceDE/>
        <w:autoSpaceDN/>
        <w:bidi w:val="0"/>
        <w:spacing w:beforeLines="0" w:afterLines="0" w:line="600" w:lineRule="exact"/>
        <w:jc w:val="right"/>
        <w:textAlignment w:val="auto"/>
        <w:rPr>
          <w:rFonts w:hint="eastAsia" w:ascii="仿宋_GB2312" w:hAnsi="宋体" w:eastAsia="仿宋_GB2312" w:cs="宋体"/>
          <w:color w:val="000000"/>
          <w:kern w:val="0"/>
          <w:sz w:val="32"/>
          <w:szCs w:val="32"/>
        </w:rPr>
      </w:pPr>
    </w:p>
    <w:p>
      <w:pPr>
        <w:pStyle w:val="2"/>
        <w:rPr>
          <w:rFonts w:hint="eastAsia"/>
        </w:rPr>
      </w:pPr>
    </w:p>
    <w:p>
      <w:pPr>
        <w:keepNext w:val="0"/>
        <w:keepLines w:val="0"/>
        <w:pageBreakBefore w:val="0"/>
        <w:widowControl/>
        <w:kinsoku/>
        <w:overflowPunct/>
        <w:topLinePunct w:val="0"/>
        <w:autoSpaceDE/>
        <w:autoSpaceDN/>
        <w:bidi w:val="0"/>
        <w:spacing w:beforeLines="0" w:afterLines="0" w:line="600" w:lineRule="exact"/>
        <w:jc w:val="righ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闽科高函〔202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39</w:t>
      </w:r>
      <w:r>
        <w:rPr>
          <w:rFonts w:hint="eastAsia" w:ascii="仿宋_GB2312" w:hAnsi="宋体" w:eastAsia="仿宋_GB2312" w:cs="宋体"/>
          <w:color w:val="000000"/>
          <w:kern w:val="0"/>
          <w:sz w:val="32"/>
          <w:szCs w:val="32"/>
        </w:rPr>
        <w:t>号</w:t>
      </w:r>
    </w:p>
    <w:p>
      <w:pPr>
        <w:keepNext w:val="0"/>
        <w:keepLines w:val="0"/>
        <w:pageBreakBefore w:val="0"/>
        <w:widowControl/>
        <w:kinsoku/>
        <w:overflowPunct/>
        <w:topLinePunct w:val="0"/>
        <w:autoSpaceDE/>
        <w:autoSpaceDN/>
        <w:bidi w:val="0"/>
        <w:spacing w:beforeLines="0" w:afterLines="0" w:line="600" w:lineRule="exact"/>
        <w:jc w:val="center"/>
        <w:textAlignment w:val="auto"/>
        <w:rPr>
          <w:rFonts w:ascii="仿宋_GB2312" w:hAnsi="宋体" w:eastAsia="仿宋_GB2312" w:cs="宋体"/>
          <w:color w:val="000000"/>
          <w:kern w:val="0"/>
          <w:sz w:val="30"/>
          <w:szCs w:val="30"/>
        </w:rPr>
      </w:pPr>
    </w:p>
    <w:p>
      <w:pPr>
        <w:keepNext w:val="0"/>
        <w:keepLines w:val="0"/>
        <w:pageBreakBefore w:val="0"/>
        <w:widowControl/>
        <w:kinsoku/>
        <w:overflowPunct/>
        <w:topLinePunct w:val="0"/>
        <w:autoSpaceDE/>
        <w:autoSpaceDN/>
        <w:bidi w:val="0"/>
        <w:spacing w:beforeLines="0" w:afterLines="0" w:line="60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福建省科学技术厅关于开展202</w:t>
      </w:r>
      <w:r>
        <w:rPr>
          <w:rFonts w:hint="eastAsia" w:ascii="方正小标宋简体" w:hAnsi="方正小标宋简体" w:eastAsia="方正小标宋简体" w:cs="方正小标宋简体"/>
          <w:b w:val="0"/>
          <w:bCs/>
          <w:color w:val="000000"/>
          <w:kern w:val="0"/>
          <w:sz w:val="44"/>
          <w:szCs w:val="44"/>
          <w:lang w:val="en-US" w:eastAsia="zh-CN"/>
        </w:rPr>
        <w:t>3</w:t>
      </w:r>
      <w:r>
        <w:rPr>
          <w:rFonts w:hint="eastAsia" w:ascii="方正小标宋简体" w:hAnsi="方正小标宋简体" w:eastAsia="方正小标宋简体" w:cs="方正小标宋简体"/>
          <w:b w:val="0"/>
          <w:bCs/>
          <w:color w:val="000000"/>
          <w:kern w:val="0"/>
          <w:sz w:val="44"/>
          <w:szCs w:val="44"/>
        </w:rPr>
        <w:t>年</w:t>
      </w:r>
      <w:r>
        <w:rPr>
          <w:rFonts w:hint="eastAsia" w:ascii="方正小标宋简体" w:hAnsi="方正小标宋简体" w:eastAsia="方正小标宋简体" w:cs="方正小标宋简体"/>
          <w:b w:val="0"/>
          <w:bCs/>
          <w:color w:val="000000"/>
          <w:kern w:val="0"/>
          <w:sz w:val="44"/>
          <w:szCs w:val="44"/>
          <w:lang w:eastAsia="zh-CN"/>
        </w:rPr>
        <w:t>度</w:t>
      </w:r>
    </w:p>
    <w:p>
      <w:pPr>
        <w:keepNext w:val="0"/>
        <w:keepLines w:val="0"/>
        <w:pageBreakBefore w:val="0"/>
        <w:widowControl/>
        <w:kinsoku/>
        <w:overflowPunct/>
        <w:topLinePunct w:val="0"/>
        <w:autoSpaceDE/>
        <w:autoSpaceDN/>
        <w:bidi w:val="0"/>
        <w:spacing w:beforeLines="0" w:afterLines="0" w:line="60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火炬计划统计工作的通知</w:t>
      </w:r>
    </w:p>
    <w:p>
      <w:pPr>
        <w:keepNext w:val="0"/>
        <w:keepLines w:val="0"/>
        <w:pageBreakBefore w:val="0"/>
        <w:widowControl/>
        <w:kinsoku/>
        <w:overflowPunct/>
        <w:topLinePunct w:val="0"/>
        <w:autoSpaceDE/>
        <w:autoSpaceDN/>
        <w:bidi w:val="0"/>
        <w:spacing w:beforeLines="0" w:afterLines="0" w:line="600" w:lineRule="exact"/>
        <w:jc w:val="center"/>
        <w:textAlignment w:val="auto"/>
        <w:rPr>
          <w:rFonts w:ascii="仿宋_GB2312" w:hAnsi="宋体" w:eastAsia="仿宋_GB2312" w:cs="宋体"/>
          <w:b/>
          <w:color w:val="000000"/>
          <w:kern w:val="0"/>
          <w:sz w:val="32"/>
          <w:szCs w:val="32"/>
        </w:rPr>
      </w:pPr>
    </w:p>
    <w:p>
      <w:pPr>
        <w:keepNext w:val="0"/>
        <w:keepLines w:val="0"/>
        <w:pageBreakBefore w:val="0"/>
        <w:kinsoku/>
        <w:overflowPunct/>
        <w:topLinePunct w:val="0"/>
        <w:autoSpaceDE/>
        <w:autoSpaceDN/>
        <w:bidi w:val="0"/>
        <w:snapToGrid w:val="0"/>
        <w:spacing w:beforeLines="0" w:afterLines="0" w:line="600" w:lineRule="exac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各有关单位：</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根据科技部火炬中心《关于开展202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年度火炬统计调查工作的通知》要求，请各单位认真组织做好202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eastAsia="zh-CN"/>
        </w:rPr>
        <w:t>度</w:t>
      </w:r>
      <w:r>
        <w:rPr>
          <w:rFonts w:hint="eastAsia" w:ascii="仿宋_GB2312" w:hAnsi="宋体" w:eastAsia="仿宋_GB2312" w:cs="宋体"/>
          <w:color w:val="000000"/>
          <w:kern w:val="0"/>
          <w:sz w:val="32"/>
          <w:szCs w:val="32"/>
        </w:rPr>
        <w:t>全省火炬统计调查工作。现就</w:t>
      </w:r>
      <w:r>
        <w:rPr>
          <w:rFonts w:hint="eastAsia" w:ascii="仿宋_GB2312" w:hAnsi="宋体" w:eastAsia="仿宋_GB2312" w:cs="宋体"/>
          <w:color w:val="000000"/>
          <w:kern w:val="0"/>
          <w:sz w:val="32"/>
          <w:szCs w:val="32"/>
          <w:lang w:val="en-US" w:eastAsia="zh-CN"/>
        </w:rPr>
        <w:t>有关</w:t>
      </w:r>
      <w:r>
        <w:rPr>
          <w:rFonts w:hint="eastAsia" w:ascii="仿宋_GB2312" w:hAnsi="宋体" w:eastAsia="仿宋_GB2312" w:cs="宋体"/>
          <w:color w:val="000000"/>
          <w:kern w:val="0"/>
          <w:sz w:val="32"/>
          <w:szCs w:val="32"/>
        </w:rPr>
        <w:t>统计</w:t>
      </w:r>
      <w:r>
        <w:rPr>
          <w:rFonts w:hint="eastAsia" w:ascii="仿宋_GB2312" w:hAnsi="宋体" w:eastAsia="仿宋_GB2312" w:cs="宋体"/>
          <w:color w:val="000000"/>
          <w:kern w:val="0"/>
          <w:sz w:val="32"/>
          <w:szCs w:val="32"/>
          <w:lang w:val="en-US" w:eastAsia="zh-CN"/>
        </w:rPr>
        <w:t>调查</w:t>
      </w:r>
      <w:r>
        <w:rPr>
          <w:rFonts w:hint="eastAsia" w:ascii="仿宋_GB2312" w:hAnsi="宋体" w:eastAsia="仿宋_GB2312" w:cs="宋体"/>
          <w:color w:val="000000"/>
          <w:kern w:val="0"/>
          <w:sz w:val="32"/>
          <w:szCs w:val="32"/>
        </w:rPr>
        <w:t>具体事宜通知如下：</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一、</w:t>
      </w:r>
      <w:r>
        <w:rPr>
          <w:rFonts w:hint="eastAsia" w:ascii="黑体" w:hAnsi="黑体" w:eastAsia="黑体" w:cs="黑体"/>
          <w:color w:val="000000"/>
          <w:kern w:val="0"/>
          <w:sz w:val="32"/>
          <w:szCs w:val="32"/>
          <w:lang w:val="en-US" w:eastAsia="zh-CN"/>
        </w:rPr>
        <w:t>报送时间</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val="0"/>
          <w:bCs/>
          <w:color w:val="000000"/>
          <w:kern w:val="0"/>
          <w:sz w:val="32"/>
          <w:szCs w:val="32"/>
        </w:rPr>
        <w:t>高新技术企业综合</w:t>
      </w:r>
      <w:r>
        <w:rPr>
          <w:rFonts w:hint="eastAsia" w:ascii="仿宋_GB2312" w:hAnsi="宋体" w:eastAsia="仿宋_GB2312" w:cs="宋体"/>
          <w:b/>
          <w:bCs w:val="0"/>
          <w:color w:val="000000"/>
          <w:kern w:val="0"/>
          <w:sz w:val="32"/>
          <w:szCs w:val="32"/>
        </w:rPr>
        <w:t>统计快报表</w:t>
      </w:r>
      <w:r>
        <w:rPr>
          <w:rFonts w:hint="eastAsia" w:ascii="仿宋_GB2312" w:hAnsi="宋体" w:eastAsia="仿宋_GB2312" w:cs="宋体"/>
          <w:color w:val="000000"/>
          <w:kern w:val="0"/>
          <w:sz w:val="32"/>
          <w:szCs w:val="32"/>
        </w:rPr>
        <w:t>务必于202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22</w:t>
      </w:r>
      <w:r>
        <w:rPr>
          <w:rFonts w:hint="eastAsia" w:ascii="仿宋_GB2312" w:hAnsi="宋体" w:eastAsia="仿宋_GB2312" w:cs="宋体"/>
          <w:color w:val="000000"/>
          <w:kern w:val="0"/>
          <w:sz w:val="32"/>
          <w:szCs w:val="32"/>
        </w:rPr>
        <w:t>日前上报。</w:t>
      </w:r>
      <w:r>
        <w:rPr>
          <w:rFonts w:hint="eastAsia" w:ascii="仿宋_GB2312" w:hAnsi="宋体" w:eastAsia="仿宋_GB2312" w:cs="宋体"/>
          <w:b/>
          <w:bCs w:val="0"/>
          <w:color w:val="000000"/>
          <w:kern w:val="0"/>
          <w:sz w:val="32"/>
          <w:szCs w:val="32"/>
        </w:rPr>
        <w:t>统计年报</w:t>
      </w:r>
      <w:r>
        <w:rPr>
          <w:rFonts w:hint="eastAsia" w:ascii="仿宋_GB2312" w:hAnsi="宋体" w:eastAsia="仿宋_GB2312" w:cs="宋体"/>
          <w:color w:val="000000"/>
          <w:kern w:val="0"/>
          <w:sz w:val="32"/>
          <w:szCs w:val="32"/>
        </w:rPr>
        <w:t>的上报截止时间为202</w:t>
      </w:r>
      <w:r>
        <w:rPr>
          <w:rFonts w:hint="eastAsia" w:ascii="仿宋_GB2312" w:hAnsi="宋体" w:eastAsia="仿宋_GB2312" w:cs="宋体"/>
          <w:color w:val="000000"/>
          <w:kern w:val="0"/>
          <w:sz w:val="32"/>
          <w:szCs w:val="32"/>
          <w:lang w:val="en-US" w:eastAsia="zh-CN"/>
        </w:rPr>
        <w:t>4</w:t>
      </w:r>
      <w:bookmarkStart w:id="4" w:name="_GoBack"/>
      <w:bookmarkEnd w:id="4"/>
      <w:r>
        <w:rPr>
          <w:rFonts w:hint="eastAsia" w:ascii="仿宋_GB2312" w:hAnsi="宋体" w:eastAsia="仿宋_GB2312" w:cs="宋体"/>
          <w:color w:val="000000"/>
          <w:kern w:val="0"/>
          <w:sz w:val="32"/>
          <w:szCs w:val="32"/>
        </w:rPr>
        <w:t>年3月2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日。</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二、</w:t>
      </w:r>
      <w:r>
        <w:rPr>
          <w:rFonts w:hint="eastAsia" w:ascii="黑体" w:hAnsi="黑体" w:eastAsia="黑体" w:cs="黑体"/>
          <w:color w:val="000000"/>
          <w:kern w:val="0"/>
          <w:sz w:val="32"/>
          <w:szCs w:val="32"/>
          <w:lang w:val="en-US" w:eastAsia="zh-CN"/>
        </w:rPr>
        <w:t>报送方式与内容</w:t>
      </w:r>
    </w:p>
    <w:p>
      <w:pPr>
        <w:pStyle w:val="2"/>
        <w:keepNext w:val="0"/>
        <w:keepLines w:val="0"/>
        <w:pageBreakBefore w:val="0"/>
        <w:kinsoku/>
        <w:overflowPunct/>
        <w:topLinePunct w:val="0"/>
        <w:autoSpaceDE/>
        <w:autoSpaceDN/>
        <w:bidi w:val="0"/>
        <w:spacing w:line="600" w:lineRule="exact"/>
        <w:ind w:firstLine="640" w:firstLineChars="200"/>
        <w:textAlignment w:val="auto"/>
        <w:rPr>
          <w:rFonts w:hint="eastAsia" w:ascii="楷体" w:hAnsi="楷体" w:eastAsia="楷体" w:cs="楷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各报表均需提供电子扫描件，由各地市科技主管部门汇总上报。</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楷体" w:hAnsi="楷体" w:eastAsia="楷体" w:cs="楷体"/>
          <w:color w:val="000000"/>
          <w:kern w:val="0"/>
          <w:sz w:val="32"/>
          <w:szCs w:val="32"/>
        </w:rPr>
      </w:pPr>
      <w:r>
        <w:rPr>
          <w:rFonts w:hint="eastAsia" w:ascii="楷体" w:hAnsi="楷体" w:eastAsia="楷体" w:cs="楷体"/>
          <w:color w:val="000000"/>
          <w:kern w:val="0"/>
          <w:sz w:val="32"/>
          <w:szCs w:val="32"/>
        </w:rPr>
        <w:t>（一）高新技术企业综合统计快报表</w:t>
      </w:r>
    </w:p>
    <w:p>
      <w:pPr>
        <w:pStyle w:val="4"/>
        <w:keepNext w:val="0"/>
        <w:keepLines w:val="0"/>
        <w:pageBreakBefore w:val="0"/>
        <w:kinsoku/>
        <w:overflowPunct/>
        <w:topLinePunct w:val="0"/>
        <w:autoSpaceDE/>
        <w:autoSpaceDN/>
        <w:bidi w:val="0"/>
        <w:spacing w:beforeLines="0" w:afterLines="0" w:line="600" w:lineRule="exact"/>
        <w:ind w:firstLine="480" w:firstLineChars="150"/>
        <w:jc w:val="both"/>
        <w:textAlignment w:val="auto"/>
        <w:rPr>
          <w:rFonts w:hint="eastAsia" w:ascii="仿宋_GB2312" w:eastAsia="仿宋_GB2312" w:cs="宋体"/>
          <w:color w:val="000000"/>
          <w:kern w:val="0"/>
          <w:szCs w:val="32"/>
        </w:rPr>
        <w:sectPr>
          <w:footerReference r:id="rId4" w:type="first"/>
          <w:headerReference r:id="rId3" w:type="default"/>
          <w:pgSz w:w="11906" w:h="16838"/>
          <w:pgMar w:top="1440" w:right="1466" w:bottom="1440" w:left="1800" w:header="851" w:footer="907" w:gutter="0"/>
          <w:pgNumType w:fmt="numberInDash"/>
          <w:cols w:space="0" w:num="1"/>
          <w:rtlGutter w:val="0"/>
          <w:docGrid w:type="lines" w:linePitch="312" w:charSpace="0"/>
        </w:sectPr>
      </w:pPr>
      <w:r>
        <w:rPr>
          <w:rFonts w:hint="eastAsia" w:ascii="仿宋_GB2312" w:eastAsia="仿宋_GB2312" w:cs="宋体"/>
          <w:color w:val="000000"/>
          <w:kern w:val="0"/>
          <w:szCs w:val="32"/>
        </w:rPr>
        <w:t xml:space="preserve"> 经认定的国家高新技术企业</w:t>
      </w:r>
      <w:r>
        <w:rPr>
          <w:rFonts w:hint="eastAsia" w:ascii="仿宋_GB2312" w:eastAsia="仿宋_GB2312" w:cs="宋体"/>
          <w:b/>
          <w:color w:val="000000"/>
          <w:kern w:val="0"/>
          <w:szCs w:val="32"/>
        </w:rPr>
        <w:t>线下填报</w:t>
      </w:r>
      <w:r>
        <w:rPr>
          <w:rFonts w:hint="eastAsia" w:ascii="仿宋_GB2312" w:hAnsi="仿宋_GB2312" w:eastAsia="仿宋_GB2312" w:cs="仿宋_GB2312"/>
          <w:color w:val="000000"/>
          <w:kern w:val="0"/>
          <w:sz w:val="32"/>
          <w:szCs w:val="32"/>
        </w:rPr>
        <w:t>高新技术企业综合统计快报表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见附件1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，该</w:t>
      </w:r>
      <w:r>
        <w:rPr>
          <w:rFonts w:hint="eastAsia" w:ascii="仿宋_GB2312" w:eastAsia="仿宋_GB2312" w:cs="宋体"/>
          <w:color w:val="000000"/>
          <w:kern w:val="0"/>
          <w:szCs w:val="32"/>
          <w:lang w:val="en-US" w:eastAsia="zh-CN"/>
        </w:rPr>
        <w:t>报表调查内容为</w:t>
      </w:r>
      <w:r>
        <w:rPr>
          <w:rFonts w:hint="eastAsia" w:ascii="仿宋_GB2312" w:eastAsia="仿宋_GB2312" w:cs="宋体"/>
          <w:color w:val="000000"/>
          <w:kern w:val="0"/>
          <w:szCs w:val="32"/>
        </w:rPr>
        <w:t>202</w:t>
      </w:r>
      <w:r>
        <w:rPr>
          <w:rFonts w:hint="eastAsia" w:ascii="仿宋_GB2312" w:eastAsia="仿宋_GB2312" w:cs="宋体"/>
          <w:color w:val="000000"/>
          <w:kern w:val="0"/>
          <w:szCs w:val="32"/>
          <w:lang w:val="en-US" w:eastAsia="zh-CN"/>
        </w:rPr>
        <w:t>3</w:t>
      </w:r>
      <w:r>
        <w:rPr>
          <w:rFonts w:hint="eastAsia" w:ascii="仿宋_GB2312" w:eastAsia="仿宋_GB2312" w:cs="宋体"/>
          <w:color w:val="000000"/>
          <w:kern w:val="0"/>
          <w:szCs w:val="32"/>
        </w:rPr>
        <w:t>年1月1日至202</w:t>
      </w:r>
      <w:r>
        <w:rPr>
          <w:rFonts w:hint="eastAsia" w:ascii="仿宋_GB2312" w:eastAsia="仿宋_GB2312" w:cs="宋体"/>
          <w:color w:val="000000"/>
          <w:kern w:val="0"/>
          <w:szCs w:val="32"/>
          <w:lang w:val="en-US" w:eastAsia="zh-CN"/>
        </w:rPr>
        <w:t>3</w:t>
      </w:r>
      <w:r>
        <w:rPr>
          <w:rFonts w:hint="eastAsia" w:ascii="仿宋_GB2312" w:eastAsia="仿宋_GB2312" w:cs="宋体"/>
          <w:color w:val="000000"/>
          <w:kern w:val="0"/>
          <w:szCs w:val="32"/>
        </w:rPr>
        <w:t>年12月31日</w:t>
      </w:r>
      <w:r>
        <w:rPr>
          <w:rFonts w:hint="eastAsia" w:ascii="仿宋_GB2312" w:eastAsia="仿宋_GB2312" w:cs="宋体"/>
          <w:color w:val="000000"/>
          <w:kern w:val="0"/>
          <w:szCs w:val="32"/>
          <w:lang w:val="en-US" w:eastAsia="zh-CN"/>
        </w:rPr>
        <w:t>期间的内容</w:t>
      </w:r>
      <w:r>
        <w:rPr>
          <w:rFonts w:hint="eastAsia" w:ascii="仿宋_GB2312" w:eastAsia="仿宋_GB2312" w:cs="宋体"/>
          <w:color w:val="000000"/>
          <w:kern w:val="0"/>
          <w:szCs w:val="32"/>
        </w:rPr>
        <w:t>。各设区市科技</w:t>
      </w:r>
      <w:r>
        <w:rPr>
          <w:rFonts w:hint="eastAsia" w:ascii="仿宋_GB2312" w:eastAsia="仿宋_GB2312" w:cs="宋体"/>
          <w:color w:val="000000"/>
          <w:kern w:val="0"/>
          <w:szCs w:val="32"/>
          <w:lang w:val="en-US" w:eastAsia="zh-CN"/>
        </w:rPr>
        <w:t>主管</w:t>
      </w:r>
      <w:r>
        <w:rPr>
          <w:rFonts w:hint="eastAsia" w:ascii="仿宋_GB2312" w:eastAsia="仿宋_GB2312" w:cs="宋体"/>
          <w:color w:val="000000"/>
          <w:kern w:val="0"/>
          <w:szCs w:val="32"/>
        </w:rPr>
        <w:t>部门</w:t>
      </w:r>
      <w:r>
        <w:rPr>
          <w:rFonts w:hint="eastAsia" w:ascii="仿宋_GB2312" w:eastAsia="仿宋_GB2312" w:cs="宋体"/>
          <w:b w:val="0"/>
          <w:bCs/>
          <w:color w:val="000000"/>
          <w:kern w:val="0"/>
          <w:szCs w:val="32"/>
        </w:rPr>
        <w:t>收集汇总</w:t>
      </w:r>
      <w:r>
        <w:rPr>
          <w:rFonts w:hint="eastAsia" w:ascii="仿宋_GB2312" w:eastAsia="仿宋_GB2312" w:cs="宋体"/>
          <w:color w:val="000000"/>
          <w:kern w:val="0"/>
          <w:szCs w:val="32"/>
        </w:rPr>
        <w:t>企业线下报表数据后，通过火炬统计调查信息系统网络平</w:t>
      </w:r>
    </w:p>
    <w:p>
      <w:pPr>
        <w:pStyle w:val="4"/>
        <w:keepNext w:val="0"/>
        <w:keepLines w:val="0"/>
        <w:pageBreakBefore w:val="0"/>
        <w:kinsoku/>
        <w:overflowPunct/>
        <w:topLinePunct w:val="0"/>
        <w:autoSpaceDE/>
        <w:autoSpaceDN/>
        <w:bidi w:val="0"/>
        <w:spacing w:beforeLines="0" w:afterLines="0" w:line="600" w:lineRule="exact"/>
        <w:ind w:firstLine="480" w:firstLineChars="150"/>
        <w:jc w:val="both"/>
        <w:textAlignment w:val="auto"/>
        <w:rPr>
          <w:rFonts w:ascii="仿宋_GB2312" w:eastAsia="仿宋_GB2312" w:cs="宋体"/>
          <w:color w:val="000000"/>
          <w:kern w:val="0"/>
          <w:szCs w:val="32"/>
        </w:rPr>
      </w:pPr>
      <w:r>
        <w:rPr>
          <w:rFonts w:hint="eastAsia" w:ascii="仿宋_GB2312" w:eastAsia="仿宋_GB2312" w:cs="宋体"/>
          <w:color w:val="000000"/>
          <w:kern w:val="0"/>
          <w:szCs w:val="32"/>
        </w:rPr>
        <w:t>台（https://tj.chinatorch.org.cn）上报汇</w:t>
      </w:r>
      <w:r>
        <w:rPr>
          <w:rFonts w:hint="eastAsia" w:ascii="仿宋_GB2312" w:hAnsi="仿宋" w:eastAsia="仿宋_GB2312"/>
          <w:szCs w:val="32"/>
        </w:rPr>
        <w:t>总数据</w:t>
      </w:r>
      <w:r>
        <w:rPr>
          <w:rFonts w:hint="eastAsia" w:ascii="仿宋_GB2312" w:hAnsi="仿宋" w:eastAsia="仿宋_GB2312"/>
          <w:szCs w:val="32"/>
          <w:lang w:eastAsia="zh-CN"/>
        </w:rPr>
        <w:t>，</w:t>
      </w:r>
      <w:r>
        <w:rPr>
          <w:rFonts w:hint="eastAsia" w:ascii="仿宋_GB2312" w:hAnsi="仿宋" w:eastAsia="仿宋_GB2312"/>
          <w:szCs w:val="32"/>
        </w:rPr>
        <w:t>并</w:t>
      </w:r>
      <w:r>
        <w:rPr>
          <w:rFonts w:hint="eastAsia" w:ascii="仿宋_GB2312" w:hAnsi="仿宋" w:eastAsia="仿宋_GB2312"/>
          <w:szCs w:val="32"/>
          <w:lang w:val="en-US" w:eastAsia="zh-CN"/>
        </w:rPr>
        <w:t>将签字盖章的</w:t>
      </w:r>
      <w:r>
        <w:rPr>
          <w:rFonts w:hint="eastAsia" w:ascii="仿宋_GB2312" w:hAnsi="仿宋" w:eastAsia="仿宋_GB2312"/>
          <w:szCs w:val="32"/>
        </w:rPr>
        <w:t>纸质报表</w:t>
      </w:r>
      <w:r>
        <w:rPr>
          <w:rFonts w:hint="eastAsia" w:ascii="仿宋_GB2312" w:hAnsi="仿宋" w:eastAsia="仿宋_GB2312"/>
          <w:szCs w:val="32"/>
          <w:lang w:val="en-US" w:eastAsia="zh-CN"/>
        </w:rPr>
        <w:t>扫描上传系统</w:t>
      </w:r>
      <w:r>
        <w:rPr>
          <w:rFonts w:hint="eastAsia" w:ascii="仿宋_GB2312" w:eastAsia="仿宋_GB2312" w:cs="宋体"/>
          <w:color w:val="000000"/>
          <w:kern w:val="0"/>
          <w:szCs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楷体" w:hAnsi="楷体" w:eastAsia="楷体" w:cs="楷体"/>
          <w:color w:val="000000"/>
          <w:kern w:val="0"/>
          <w:sz w:val="32"/>
          <w:szCs w:val="32"/>
        </w:rPr>
      </w:pPr>
      <w:r>
        <w:rPr>
          <w:rFonts w:hint="eastAsia" w:ascii="楷体" w:hAnsi="楷体" w:eastAsia="楷体" w:cs="楷体"/>
          <w:color w:val="000000"/>
          <w:kern w:val="0"/>
          <w:sz w:val="32"/>
          <w:szCs w:val="32"/>
        </w:rPr>
        <w:t>（二）统计年报</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火炬计划统计年报</w:t>
      </w:r>
      <w:r>
        <w:rPr>
          <w:rFonts w:hint="eastAsia" w:ascii="仿宋_GB2312" w:hAnsi="宋体" w:eastAsia="仿宋_GB2312" w:cs="宋体"/>
          <w:color w:val="000000"/>
          <w:kern w:val="0"/>
          <w:sz w:val="32"/>
          <w:szCs w:val="32"/>
        </w:rPr>
        <w:t>调查内容为202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年1月1日至202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年12月31日期间的内容，统计对</w:t>
      </w:r>
      <w:r>
        <w:rPr>
          <w:rFonts w:hint="eastAsia" w:ascii="仿宋_GB2312" w:hAnsi="仿宋" w:eastAsia="仿宋_GB2312"/>
          <w:sz w:val="32"/>
          <w:szCs w:val="32"/>
        </w:rPr>
        <w:t>象为区外有效期内的</w:t>
      </w:r>
      <w:r>
        <w:rPr>
          <w:rFonts w:hint="eastAsia" w:ascii="仿宋_GB2312" w:hAnsi="仿宋" w:eastAsia="仿宋_GB2312"/>
          <w:sz w:val="32"/>
          <w:szCs w:val="32"/>
          <w:lang w:val="en-US" w:eastAsia="zh-CN"/>
        </w:rPr>
        <w:t>国家</w:t>
      </w:r>
      <w:r>
        <w:rPr>
          <w:rFonts w:hint="eastAsia" w:ascii="仿宋_GB2312" w:hAnsi="仿宋" w:eastAsia="仿宋_GB2312"/>
          <w:sz w:val="32"/>
          <w:szCs w:val="32"/>
        </w:rPr>
        <w:t>高新技术企业、</w:t>
      </w:r>
      <w:r>
        <w:rPr>
          <w:rFonts w:hint="eastAsia" w:ascii="仿宋_GB2312" w:hAnsi="宋体" w:eastAsia="仿宋_GB2312" w:cs="宋体"/>
          <w:color w:val="000000"/>
          <w:kern w:val="0"/>
          <w:sz w:val="32"/>
          <w:szCs w:val="32"/>
        </w:rPr>
        <w:t>国家火炬软件产业基地、国家火炬特色产业基地、创新型产业集群、国家大学科技园</w:t>
      </w:r>
      <w:r>
        <w:rPr>
          <w:rFonts w:hint="eastAsia" w:ascii="仿宋_GB2312" w:hAnsi="宋体" w:eastAsia="仿宋_GB2312" w:cs="宋体"/>
          <w:color w:val="000000"/>
          <w:kern w:val="0"/>
          <w:sz w:val="32"/>
          <w:szCs w:val="32"/>
          <w:lang w:val="en-US" w:eastAsia="zh-CN"/>
        </w:rPr>
        <w:t>和</w:t>
      </w:r>
      <w:r>
        <w:rPr>
          <w:rFonts w:hint="eastAsia" w:ascii="仿宋_GB2312" w:hAnsi="宋体" w:eastAsia="仿宋_GB2312" w:cs="宋体"/>
          <w:color w:val="000000"/>
          <w:kern w:val="0"/>
          <w:sz w:val="32"/>
          <w:szCs w:val="32"/>
        </w:rPr>
        <w:t>省级高新区。</w:t>
      </w:r>
    </w:p>
    <w:p>
      <w:pPr>
        <w:keepNext w:val="0"/>
        <w:keepLines w:val="0"/>
        <w:pageBreakBefore w:val="0"/>
        <w:numPr>
          <w:ilvl w:val="-1"/>
          <w:numId w:val="0"/>
        </w:numPr>
        <w:kinsoku/>
        <w:overflowPunct/>
        <w:topLinePunct w:val="0"/>
        <w:autoSpaceDE/>
        <w:autoSpaceDN/>
        <w:bidi w:val="0"/>
        <w:snapToGrid w:val="0"/>
        <w:spacing w:beforeLines="0" w:afterLines="0" w:line="600" w:lineRule="exact"/>
        <w:ind w:firstLine="643" w:firstLineChars="200"/>
        <w:textAlignment w:val="auto"/>
        <w:rPr>
          <w:rFonts w:ascii="仿宋_GB2312" w:hAnsi="宋体" w:eastAsia="仿宋_GB2312" w:cs="宋体"/>
          <w:color w:val="000000"/>
          <w:kern w:val="0"/>
          <w:sz w:val="32"/>
          <w:szCs w:val="32"/>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color w:val="auto"/>
          <w:kern w:val="2"/>
          <w:sz w:val="32"/>
          <w:szCs w:val="32"/>
        </w:rPr>
        <w:t>登录平台和账号密码</w:t>
      </w:r>
      <w:r>
        <w:rPr>
          <w:rFonts w:hint="eastAsia" w:ascii="仿宋_GB2312" w:hAnsi="仿宋_GB2312" w:eastAsia="仿宋_GB2312" w:cs="仿宋_GB2312"/>
          <w:b/>
          <w:bCs/>
          <w:color w:val="auto"/>
          <w:kern w:val="2"/>
          <w:sz w:val="32"/>
          <w:szCs w:val="32"/>
          <w:lang w:eastAsia="zh-CN"/>
        </w:rPr>
        <w:t>。</w:t>
      </w:r>
      <w:r>
        <w:rPr>
          <w:rFonts w:hint="eastAsia" w:ascii="仿宋_GB2312" w:hAnsi="仿宋" w:eastAsia="仿宋_GB2312" w:cs="Times New Roman"/>
          <w:color w:val="auto"/>
          <w:kern w:val="2"/>
          <w:sz w:val="32"/>
          <w:szCs w:val="32"/>
        </w:rPr>
        <w:t>市、区、县各级科技</w:t>
      </w:r>
      <w:r>
        <w:rPr>
          <w:rFonts w:hint="eastAsia" w:ascii="仿宋_GB2312" w:hAnsi="仿宋" w:eastAsia="仿宋_GB2312" w:cs="Times New Roman"/>
          <w:color w:val="auto"/>
          <w:kern w:val="2"/>
          <w:sz w:val="32"/>
          <w:szCs w:val="32"/>
          <w:lang w:val="en-US" w:eastAsia="zh-CN"/>
        </w:rPr>
        <w:t>主管</w:t>
      </w:r>
      <w:r>
        <w:rPr>
          <w:rFonts w:hint="eastAsia" w:ascii="仿宋_GB2312" w:hAnsi="仿宋" w:eastAsia="仿宋_GB2312" w:cs="Times New Roman"/>
          <w:color w:val="auto"/>
          <w:kern w:val="2"/>
          <w:sz w:val="32"/>
          <w:szCs w:val="32"/>
        </w:rPr>
        <w:t>部门、</w:t>
      </w:r>
      <w:r>
        <w:rPr>
          <w:rFonts w:hint="eastAsia" w:ascii="仿宋_GB2312" w:hAnsi="宋体" w:eastAsia="仿宋_GB2312" w:cs="宋体"/>
          <w:color w:val="000000"/>
          <w:kern w:val="0"/>
          <w:sz w:val="32"/>
          <w:szCs w:val="32"/>
        </w:rPr>
        <w:t>国家火炬软件产业基地、</w:t>
      </w:r>
      <w:r>
        <w:rPr>
          <w:rFonts w:hint="eastAsia" w:ascii="仿宋_GB2312" w:hAnsi="仿宋" w:eastAsia="仿宋_GB2312" w:cs="Times New Roman"/>
          <w:color w:val="auto"/>
          <w:kern w:val="2"/>
          <w:sz w:val="32"/>
          <w:szCs w:val="32"/>
        </w:rPr>
        <w:t>国家火炬特色产业基</w:t>
      </w:r>
      <w:r>
        <w:rPr>
          <w:rFonts w:hint="eastAsia" w:ascii="仿宋_GB2312" w:hAnsi="宋体" w:eastAsia="仿宋_GB2312" w:cs="宋体"/>
          <w:color w:val="000000"/>
          <w:kern w:val="0"/>
          <w:sz w:val="32"/>
          <w:szCs w:val="32"/>
        </w:rPr>
        <w:t>地、创新型产业集群、国家大学科技园</w:t>
      </w:r>
      <w:r>
        <w:rPr>
          <w:rFonts w:hint="eastAsia" w:ascii="仿宋_GB2312" w:hAnsi="宋体" w:eastAsia="仿宋_GB2312" w:cs="宋体"/>
          <w:color w:val="000000"/>
          <w:kern w:val="0"/>
          <w:sz w:val="32"/>
          <w:szCs w:val="32"/>
          <w:lang w:val="en-US" w:eastAsia="zh-CN"/>
        </w:rPr>
        <w:t>和</w:t>
      </w:r>
      <w:r>
        <w:rPr>
          <w:rFonts w:hint="eastAsia" w:ascii="仿宋_GB2312" w:hAnsi="宋体" w:eastAsia="仿宋_GB2312" w:cs="宋体"/>
          <w:color w:val="000000"/>
          <w:kern w:val="0"/>
          <w:sz w:val="32"/>
          <w:szCs w:val="32"/>
        </w:rPr>
        <w:t>省级高新区，通过火炬统计调查信息系统网络平台（</w:t>
      </w: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HYPERLINK "https://tj.chinatorch.org.cn" </w:instrText>
      </w:r>
      <w:r>
        <w:rPr>
          <w:rFonts w:ascii="仿宋_GB2312" w:hAnsi="宋体" w:eastAsia="仿宋_GB2312" w:cs="宋体"/>
          <w:color w:val="000000"/>
          <w:kern w:val="0"/>
          <w:sz w:val="32"/>
          <w:szCs w:val="32"/>
        </w:rPr>
        <w:fldChar w:fldCharType="separate"/>
      </w:r>
      <w:r>
        <w:rPr>
          <w:rStyle w:val="14"/>
          <w:rFonts w:ascii="仿宋_GB2312" w:hAnsi="宋体" w:eastAsia="仿宋_GB2312" w:cs="宋体"/>
          <w:color w:val="000000"/>
          <w:kern w:val="0"/>
          <w:sz w:val="32"/>
          <w:szCs w:val="32"/>
        </w:rPr>
        <w:t>https://tj.chinatorch.org.cn</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）在线填报和打印，用户名、密码不变；高新技术企业</w:t>
      </w:r>
      <w:r>
        <w:rPr>
          <w:rFonts w:hint="eastAsia" w:ascii="仿宋_GB2312" w:hAnsi="仿宋" w:eastAsia="仿宋_GB2312"/>
          <w:sz w:val="32"/>
          <w:szCs w:val="32"/>
        </w:rPr>
        <w:t>通过</w:t>
      </w: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HYPERLINK "javascript:void(0);" </w:instrText>
      </w:r>
      <w:r>
        <w:rPr>
          <w:rFonts w:ascii="仿宋_GB2312" w:hAnsi="宋体" w:eastAsia="仿宋_GB2312" w:cs="宋体"/>
          <w:color w:val="000000"/>
          <w:kern w:val="0"/>
          <w:sz w:val="32"/>
          <w:szCs w:val="32"/>
        </w:rPr>
        <w:fldChar w:fldCharType="separate"/>
      </w:r>
      <w:r>
        <w:rPr>
          <w:rFonts w:hint="eastAsia" w:ascii="仿宋_GB2312" w:hAnsi="宋体" w:eastAsia="仿宋_GB2312" w:cs="宋体"/>
          <w:color w:val="000000"/>
          <w:kern w:val="0"/>
          <w:sz w:val="32"/>
          <w:szCs w:val="32"/>
          <w:lang w:val="en-US" w:eastAsia="zh-CN"/>
        </w:rPr>
        <w:t>科学技术部</w:t>
      </w:r>
      <w:r>
        <w:rPr>
          <w:rFonts w:hint="eastAsia" w:ascii="仿宋_GB2312" w:hAnsi="宋体" w:eastAsia="仿宋_GB2312" w:cs="宋体"/>
          <w:color w:val="000000"/>
          <w:kern w:val="0"/>
          <w:sz w:val="32"/>
          <w:szCs w:val="32"/>
        </w:rPr>
        <w:t>政务服务平台</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HYPERLINK "https://tj.chinatorch.org.cn" </w:instrText>
      </w:r>
      <w:r>
        <w:rPr>
          <w:rFonts w:ascii="仿宋_GB2312" w:hAnsi="宋体" w:eastAsia="仿宋_GB2312" w:cs="宋体"/>
          <w:color w:val="000000"/>
          <w:kern w:val="0"/>
          <w:sz w:val="32"/>
          <w:szCs w:val="32"/>
        </w:rPr>
        <w:fldChar w:fldCharType="separate"/>
      </w:r>
      <w:r>
        <w:rPr>
          <w:rStyle w:val="14"/>
          <w:rFonts w:ascii="仿宋_GB2312" w:hAnsi="宋体" w:eastAsia="仿宋_GB2312" w:cs="宋体"/>
          <w:color w:val="000000"/>
          <w:kern w:val="0"/>
          <w:sz w:val="32"/>
          <w:szCs w:val="32"/>
        </w:rPr>
        <w:t>https://</w:t>
      </w:r>
      <w:r>
        <w:rPr>
          <w:rStyle w:val="14"/>
          <w:rFonts w:hint="eastAsia" w:ascii="仿宋_GB2312" w:hAnsi="宋体" w:eastAsia="仿宋_GB2312" w:cs="宋体"/>
          <w:color w:val="000000"/>
          <w:kern w:val="0"/>
          <w:sz w:val="32"/>
          <w:szCs w:val="32"/>
          <w:lang w:val="en-US" w:eastAsia="zh-CN"/>
        </w:rPr>
        <w:t>fuwu</w:t>
      </w:r>
      <w:r>
        <w:rPr>
          <w:rStyle w:val="14"/>
          <w:rFonts w:ascii="仿宋_GB2312" w:hAnsi="宋体" w:eastAsia="仿宋_GB2312" w:cs="宋体"/>
          <w:color w:val="000000"/>
          <w:kern w:val="0"/>
          <w:sz w:val="32"/>
          <w:szCs w:val="32"/>
        </w:rPr>
        <w:t>.</w:t>
      </w:r>
      <w:r>
        <w:rPr>
          <w:rStyle w:val="14"/>
          <w:rFonts w:hint="eastAsia" w:ascii="仿宋_GB2312" w:hAnsi="宋体" w:eastAsia="仿宋_GB2312" w:cs="宋体"/>
          <w:color w:val="000000"/>
          <w:kern w:val="0"/>
          <w:sz w:val="32"/>
          <w:szCs w:val="32"/>
          <w:lang w:val="en-US" w:eastAsia="zh-CN"/>
        </w:rPr>
        <w:t>most</w:t>
      </w:r>
      <w:r>
        <w:rPr>
          <w:rStyle w:val="14"/>
          <w:rFonts w:ascii="仿宋_GB2312" w:hAnsi="宋体" w:eastAsia="仿宋_GB2312" w:cs="宋体"/>
          <w:color w:val="000000"/>
          <w:kern w:val="0"/>
          <w:sz w:val="32"/>
          <w:szCs w:val="32"/>
        </w:rPr>
        <w:t>.</w:t>
      </w:r>
      <w:r>
        <w:rPr>
          <w:rStyle w:val="14"/>
          <w:rFonts w:hint="eastAsia" w:ascii="仿宋_GB2312" w:hAnsi="宋体" w:eastAsia="仿宋_GB2312" w:cs="宋体"/>
          <w:color w:val="000000"/>
          <w:kern w:val="0"/>
          <w:sz w:val="32"/>
          <w:szCs w:val="32"/>
          <w:lang w:val="en-US" w:eastAsia="zh-CN"/>
        </w:rPr>
        <w:t>gov</w:t>
      </w:r>
      <w:r>
        <w:rPr>
          <w:rStyle w:val="14"/>
          <w:rFonts w:ascii="仿宋_GB2312" w:hAnsi="宋体" w:eastAsia="仿宋_GB2312" w:cs="宋体"/>
          <w:color w:val="000000"/>
          <w:kern w:val="0"/>
          <w:sz w:val="32"/>
          <w:szCs w:val="32"/>
        </w:rPr>
        <w:t>.cn</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rPr>
        <w:t>）“服务事项</w:t>
      </w:r>
      <w:r>
        <w:rPr>
          <w:rFonts w:ascii="仿宋_GB2312" w:hAnsi="宋体" w:eastAsia="仿宋_GB2312" w:cs="宋体"/>
          <w:color w:val="000000"/>
          <w:kern w:val="0"/>
          <w:sz w:val="32"/>
          <w:szCs w:val="32"/>
        </w:rPr>
        <w:t>”栏目</w:t>
      </w:r>
      <w:r>
        <w:rPr>
          <w:rFonts w:hint="eastAsia" w:ascii="仿宋_GB2312" w:hAnsi="宋体" w:eastAsia="仿宋_GB2312" w:cs="宋体"/>
          <w:color w:val="000000"/>
          <w:kern w:val="0"/>
          <w:sz w:val="32"/>
          <w:szCs w:val="32"/>
          <w:lang w:val="en-US" w:eastAsia="zh-CN"/>
        </w:rPr>
        <w:t>中“</w:t>
      </w:r>
      <w:r>
        <w:rPr>
          <w:rFonts w:hint="eastAsia" w:ascii="仿宋_GB2312" w:hAnsi="宋体" w:eastAsia="仿宋_GB2312" w:cs="宋体"/>
          <w:color w:val="000000"/>
          <w:kern w:val="0"/>
          <w:sz w:val="32"/>
          <w:szCs w:val="32"/>
        </w:rPr>
        <w:t>火炬中心业务办理平台</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在线填报和打印，用户名为18位统一社会信用代码，密码</w:t>
      </w:r>
      <w:r>
        <w:rPr>
          <w:rFonts w:hint="eastAsia" w:ascii="仿宋_GB2312" w:hAnsi="宋体" w:eastAsia="仿宋_GB2312" w:cs="宋体"/>
          <w:color w:val="000000"/>
          <w:kern w:val="0"/>
          <w:sz w:val="32"/>
          <w:szCs w:val="32"/>
          <w:lang w:val="en-US" w:eastAsia="zh-CN"/>
        </w:rPr>
        <w:t>同</w:t>
      </w:r>
      <w:r>
        <w:rPr>
          <w:rFonts w:hint="eastAsia" w:ascii="仿宋_GB2312" w:hAnsi="宋体" w:eastAsia="仿宋_GB2312" w:cs="宋体"/>
          <w:color w:val="000000"/>
          <w:kern w:val="0"/>
          <w:sz w:val="32"/>
          <w:szCs w:val="32"/>
        </w:rPr>
        <w:t>高新技术企业</w:t>
      </w:r>
      <w:r>
        <w:rPr>
          <w:rFonts w:hint="eastAsia" w:ascii="仿宋_GB2312" w:hAnsi="宋体" w:eastAsia="仿宋_GB2312" w:cs="宋体"/>
          <w:color w:val="000000"/>
          <w:kern w:val="0"/>
          <w:sz w:val="32"/>
          <w:szCs w:val="32"/>
          <w:lang w:val="en-US" w:eastAsia="zh-CN"/>
        </w:rPr>
        <w:t>认定</w:t>
      </w:r>
      <w:r>
        <w:rPr>
          <w:rFonts w:hint="eastAsia" w:ascii="仿宋_GB2312" w:hAnsi="宋体" w:eastAsia="仿宋_GB2312" w:cs="宋体"/>
          <w:color w:val="000000"/>
          <w:kern w:val="0"/>
          <w:sz w:val="32"/>
          <w:szCs w:val="32"/>
        </w:rPr>
        <w:t>申报密码。</w:t>
      </w:r>
    </w:p>
    <w:p>
      <w:pPr>
        <w:keepNext w:val="0"/>
        <w:keepLines w:val="0"/>
        <w:pageBreakBefore w:val="0"/>
        <w:kinsoku/>
        <w:overflowPunct/>
        <w:topLinePunct w:val="0"/>
        <w:autoSpaceDE/>
        <w:autoSpaceDN/>
        <w:bidi w:val="0"/>
        <w:snapToGrid w:val="0"/>
        <w:spacing w:beforeLines="0" w:afterLines="0" w:line="60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lang w:val="en-US" w:eastAsia="zh-CN"/>
        </w:rPr>
        <w:t>2.</w:t>
      </w:r>
      <w:r>
        <w:rPr>
          <w:rFonts w:hint="eastAsia" w:ascii="仿宋_GB2312" w:hAnsi="宋体" w:eastAsia="仿宋_GB2312" w:cs="宋体"/>
          <w:b/>
          <w:bCs/>
          <w:color w:val="000000"/>
          <w:kern w:val="0"/>
          <w:sz w:val="32"/>
          <w:szCs w:val="32"/>
        </w:rPr>
        <w:t>数据填报</w:t>
      </w:r>
      <w:r>
        <w:rPr>
          <w:rFonts w:hint="eastAsia" w:ascii="仿宋_GB2312" w:hAnsi="宋体" w:eastAsia="仿宋_GB2312" w:cs="宋体"/>
          <w:b/>
          <w:bCs/>
          <w:color w:val="000000"/>
          <w:kern w:val="0"/>
          <w:sz w:val="32"/>
          <w:szCs w:val="32"/>
          <w:lang w:val="en-US" w:eastAsia="zh-CN"/>
        </w:rPr>
        <w:t>。</w:t>
      </w:r>
      <w:r>
        <w:rPr>
          <w:rFonts w:hint="eastAsia" w:ascii="仿宋_GB2312" w:hAnsi="宋体" w:eastAsia="仿宋_GB2312" w:cs="宋体"/>
          <w:color w:val="000000"/>
          <w:kern w:val="0"/>
          <w:sz w:val="32"/>
          <w:szCs w:val="32"/>
        </w:rPr>
        <w:t>填报单位登录</w:t>
      </w:r>
      <w:r>
        <w:rPr>
          <w:rFonts w:hint="eastAsia" w:ascii="仿宋_GB2312" w:hAnsi="宋体" w:eastAsia="仿宋_GB2312" w:cs="宋体"/>
          <w:color w:val="000000"/>
          <w:kern w:val="0"/>
          <w:sz w:val="32"/>
          <w:szCs w:val="32"/>
          <w:lang w:val="en-US" w:eastAsia="zh-CN"/>
        </w:rPr>
        <w:t>平台</w:t>
      </w:r>
      <w:r>
        <w:rPr>
          <w:rFonts w:hint="eastAsia" w:ascii="仿宋_GB2312" w:hAnsi="宋体" w:eastAsia="仿宋_GB2312" w:cs="宋体"/>
          <w:color w:val="000000"/>
          <w:kern w:val="0"/>
          <w:sz w:val="32"/>
          <w:szCs w:val="32"/>
        </w:rPr>
        <w:t>系统逐步填写相关数据，保存成功后</w:t>
      </w:r>
      <w:r>
        <w:rPr>
          <w:rFonts w:hint="eastAsia" w:ascii="仿宋_GB2312" w:hAnsi="宋体" w:eastAsia="仿宋_GB2312" w:cs="宋体"/>
          <w:color w:val="000000"/>
          <w:kern w:val="0"/>
          <w:sz w:val="32"/>
          <w:szCs w:val="32"/>
          <w:lang w:val="en-US" w:eastAsia="zh-CN"/>
        </w:rPr>
        <w:t>应</w:t>
      </w:r>
      <w:r>
        <w:rPr>
          <w:rFonts w:hint="eastAsia" w:ascii="仿宋_GB2312" w:hAnsi="宋体" w:eastAsia="仿宋_GB2312" w:cs="宋体"/>
          <w:color w:val="000000"/>
          <w:kern w:val="0"/>
          <w:sz w:val="32"/>
          <w:szCs w:val="32"/>
        </w:rPr>
        <w:t>检查平衡关系是否通过，</w:t>
      </w:r>
      <w:r>
        <w:rPr>
          <w:rFonts w:hint="eastAsia" w:ascii="仿宋_GB2312" w:hAnsi="宋体" w:eastAsia="仿宋_GB2312" w:cs="宋体"/>
          <w:color w:val="000000"/>
          <w:kern w:val="0"/>
          <w:sz w:val="32"/>
          <w:szCs w:val="32"/>
          <w:lang w:val="en-US" w:eastAsia="zh-CN"/>
        </w:rPr>
        <w:t>并</w:t>
      </w:r>
      <w:r>
        <w:rPr>
          <w:rFonts w:hint="eastAsia" w:ascii="仿宋_GB2312" w:hAnsi="宋体" w:eastAsia="仿宋_GB2312" w:cs="宋体"/>
          <w:color w:val="000000"/>
          <w:kern w:val="0"/>
          <w:sz w:val="32"/>
          <w:szCs w:val="32"/>
        </w:rPr>
        <w:t>填写错误和警告</w:t>
      </w:r>
      <w:r>
        <w:rPr>
          <w:rFonts w:hint="eastAsia" w:ascii="仿宋_GB2312" w:hAnsi="宋体" w:eastAsia="仿宋_GB2312" w:cs="宋体"/>
          <w:color w:val="000000"/>
          <w:kern w:val="0"/>
          <w:sz w:val="32"/>
          <w:szCs w:val="32"/>
          <w:lang w:val="en-US" w:eastAsia="zh-CN"/>
        </w:rPr>
        <w:t>原因</w:t>
      </w:r>
      <w:r>
        <w:rPr>
          <w:rFonts w:hint="eastAsia" w:ascii="仿宋_GB2312" w:hAnsi="宋体" w:eastAsia="仿宋_GB2312" w:cs="宋体"/>
          <w:color w:val="000000"/>
          <w:kern w:val="0"/>
          <w:sz w:val="32"/>
          <w:szCs w:val="32"/>
        </w:rPr>
        <w:t>说明后提交，待上一级科技</w:t>
      </w:r>
      <w:r>
        <w:rPr>
          <w:rFonts w:hint="eastAsia" w:ascii="仿宋_GB2312" w:hAnsi="宋体" w:eastAsia="仿宋_GB2312" w:cs="宋体"/>
          <w:color w:val="000000"/>
          <w:kern w:val="0"/>
          <w:sz w:val="32"/>
          <w:szCs w:val="32"/>
          <w:lang w:val="en-US" w:eastAsia="zh-CN"/>
        </w:rPr>
        <w:t>主管</w:t>
      </w:r>
      <w:r>
        <w:rPr>
          <w:rFonts w:hint="eastAsia" w:ascii="仿宋_GB2312" w:hAnsi="宋体" w:eastAsia="仿宋_GB2312" w:cs="宋体"/>
          <w:color w:val="000000"/>
          <w:kern w:val="0"/>
          <w:sz w:val="32"/>
          <w:szCs w:val="32"/>
        </w:rPr>
        <w:t>部门审核后，通过系统打印出带“火炬”标识水印的报表</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签字并加盖公章扫描发至各地市科技主管部门</w:t>
      </w:r>
      <w:r>
        <w:rPr>
          <w:rFonts w:hint="eastAsia" w:ascii="仿宋_GB2312" w:hAnsi="宋体" w:eastAsia="仿宋_GB2312" w:cs="宋体"/>
          <w:color w:val="000000"/>
          <w:kern w:val="0"/>
          <w:sz w:val="32"/>
          <w:szCs w:val="32"/>
        </w:rPr>
        <w:t>。</w:t>
      </w:r>
    </w:p>
    <w:p>
      <w:pPr>
        <w:keepNext w:val="0"/>
        <w:keepLines w:val="0"/>
        <w:pageBreakBefore w:val="0"/>
        <w:kinsoku/>
        <w:overflowPunct/>
        <w:topLinePunct w:val="0"/>
        <w:autoSpaceDE/>
        <w:autoSpaceDN/>
        <w:bidi w:val="0"/>
        <w:snapToGrid w:val="0"/>
        <w:spacing w:beforeLines="0" w:afterLines="0" w:line="600" w:lineRule="exact"/>
        <w:ind w:firstLine="643"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3.</w:t>
      </w:r>
      <w:r>
        <w:rPr>
          <w:rFonts w:hint="eastAsia" w:ascii="仿宋_GB2312" w:hAnsi="宋体" w:eastAsia="仿宋_GB2312" w:cs="宋体"/>
          <w:b/>
          <w:bCs/>
          <w:color w:val="000000"/>
          <w:kern w:val="0"/>
          <w:sz w:val="32"/>
          <w:szCs w:val="32"/>
          <w:lang w:val="en-US" w:eastAsia="zh-CN"/>
        </w:rPr>
        <w:t>系统</w:t>
      </w:r>
      <w:r>
        <w:rPr>
          <w:rFonts w:hint="eastAsia" w:ascii="仿宋_GB2312" w:hAnsi="宋体" w:eastAsia="仿宋_GB2312" w:cs="宋体"/>
          <w:b/>
          <w:bCs/>
          <w:color w:val="000000"/>
          <w:kern w:val="0"/>
          <w:sz w:val="32"/>
          <w:szCs w:val="32"/>
        </w:rPr>
        <w:t>审核</w:t>
      </w:r>
      <w:r>
        <w:rPr>
          <w:rFonts w:hint="eastAsia" w:ascii="仿宋_GB2312" w:hAnsi="宋体" w:eastAsia="仿宋_GB2312" w:cs="宋体"/>
          <w:b/>
          <w:bCs/>
          <w:color w:val="000000"/>
          <w:kern w:val="0"/>
          <w:sz w:val="32"/>
          <w:szCs w:val="32"/>
          <w:lang w:eastAsia="zh-CN"/>
        </w:rPr>
        <w:t>。</w:t>
      </w:r>
      <w:r>
        <w:rPr>
          <w:rFonts w:hint="eastAsia" w:ascii="仿宋_GB2312" w:hAnsi="宋体" w:eastAsia="仿宋_GB2312" w:cs="宋体"/>
          <w:color w:val="000000"/>
          <w:kern w:val="0"/>
          <w:sz w:val="32"/>
          <w:szCs w:val="32"/>
        </w:rPr>
        <w:t>各级科技主管部门在线审核辖区内填报单位的年报数据</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查看平衡关系</w:t>
      </w:r>
      <w:r>
        <w:rPr>
          <w:rFonts w:hint="eastAsia" w:ascii="仿宋_GB2312" w:hAnsi="宋体" w:eastAsia="仿宋_GB2312" w:cs="宋体"/>
          <w:color w:val="000000"/>
          <w:kern w:val="0"/>
          <w:sz w:val="32"/>
          <w:szCs w:val="32"/>
          <w:lang w:val="en-US" w:eastAsia="zh-CN"/>
        </w:rPr>
        <w:t>是否</w:t>
      </w:r>
      <w:r>
        <w:rPr>
          <w:rFonts w:hint="eastAsia" w:ascii="仿宋_GB2312" w:hAnsi="宋体" w:eastAsia="仿宋_GB2312" w:cs="宋体"/>
          <w:color w:val="000000"/>
          <w:kern w:val="0"/>
          <w:sz w:val="32"/>
          <w:szCs w:val="32"/>
        </w:rPr>
        <w:t>已通过</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错误和警告说明</w:t>
      </w:r>
      <w:r>
        <w:rPr>
          <w:rFonts w:hint="eastAsia" w:ascii="仿宋_GB2312" w:hAnsi="宋体" w:eastAsia="仿宋_GB2312" w:cs="宋体"/>
          <w:color w:val="000000"/>
          <w:kern w:val="0"/>
          <w:sz w:val="32"/>
          <w:szCs w:val="32"/>
          <w:lang w:val="en-US" w:eastAsia="zh-CN"/>
        </w:rPr>
        <w:t>是否</w:t>
      </w:r>
      <w:r>
        <w:rPr>
          <w:rFonts w:hint="eastAsia" w:ascii="仿宋_GB2312" w:hAnsi="宋体" w:eastAsia="仿宋_GB2312" w:cs="宋体"/>
          <w:color w:val="000000"/>
          <w:kern w:val="0"/>
          <w:sz w:val="32"/>
          <w:szCs w:val="32"/>
        </w:rPr>
        <w:t>已填写</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审核完毕</w:t>
      </w:r>
      <w:r>
        <w:rPr>
          <w:rFonts w:hint="eastAsia" w:ascii="仿宋_GB2312" w:hAnsi="宋体" w:eastAsia="仿宋_GB2312" w:cs="宋体"/>
          <w:color w:val="000000"/>
          <w:kern w:val="0"/>
          <w:sz w:val="32"/>
          <w:szCs w:val="32"/>
        </w:rPr>
        <w:t>后点击“未审”</w:t>
      </w:r>
      <w:r>
        <w:rPr>
          <w:rFonts w:hint="eastAsia" w:ascii="仿宋_GB2312" w:hAnsi="宋体" w:eastAsia="仿宋_GB2312" w:cs="宋体"/>
          <w:color w:val="000000"/>
          <w:kern w:val="0"/>
          <w:sz w:val="32"/>
          <w:szCs w:val="32"/>
          <w:lang w:val="en-US" w:eastAsia="zh-CN"/>
        </w:rPr>
        <w:t>选项</w:t>
      </w:r>
      <w:r>
        <w:rPr>
          <w:rFonts w:hint="eastAsia" w:ascii="仿宋_GB2312" w:hAnsi="宋体" w:eastAsia="仿宋_GB2312" w:cs="宋体"/>
          <w:color w:val="000000"/>
          <w:kern w:val="0"/>
          <w:sz w:val="32"/>
          <w:szCs w:val="32"/>
        </w:rPr>
        <w:t>，待显示“已审”表示审核成功。</w:t>
      </w:r>
    </w:p>
    <w:p>
      <w:pPr>
        <w:keepNext w:val="0"/>
        <w:keepLines w:val="0"/>
        <w:pageBreakBefore w:val="0"/>
        <w:kinsoku/>
        <w:overflowPunct/>
        <w:topLinePunct w:val="0"/>
        <w:autoSpaceDE/>
        <w:autoSpaceDN/>
        <w:bidi w:val="0"/>
        <w:snapToGrid w:val="0"/>
        <w:spacing w:beforeLines="0" w:afterLines="0" w:line="600" w:lineRule="exact"/>
        <w:ind w:firstLine="643" w:firstLineChars="200"/>
        <w:textAlignment w:val="auto"/>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4.火炬计</w:t>
      </w:r>
      <w:r>
        <w:rPr>
          <w:rFonts w:hint="eastAsia" w:ascii="仿宋_GB2312" w:hAnsi="仿宋" w:eastAsia="仿宋_GB2312"/>
          <w:b/>
          <w:bCs/>
          <w:sz w:val="32"/>
          <w:szCs w:val="32"/>
        </w:rPr>
        <w:t>划统计年报需报送以下</w:t>
      </w:r>
      <w:r>
        <w:rPr>
          <w:rFonts w:hint="eastAsia" w:ascii="仿宋_GB2312" w:hAnsi="仿宋" w:eastAsia="仿宋_GB2312"/>
          <w:b/>
          <w:bCs/>
          <w:sz w:val="32"/>
          <w:szCs w:val="32"/>
          <w:lang w:val="en-US" w:eastAsia="zh-CN"/>
        </w:rPr>
        <w:t>报表</w:t>
      </w:r>
      <w:r>
        <w:rPr>
          <w:rFonts w:hint="eastAsia" w:ascii="仿宋_GB2312" w:hAnsi="仿宋" w:eastAsia="仿宋_GB2312"/>
          <w:b/>
          <w:bCs/>
          <w:sz w:val="32"/>
          <w:szCs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ascii="仿宋_GB2312" w:hAnsi="仿宋" w:eastAsia="仿宋_GB2312"/>
          <w:sz w:val="32"/>
          <w:szCs w:val="32"/>
        </w:rPr>
        <w:t>国家高新区企业和高新技术企业统计报表</w:t>
      </w:r>
      <w:r>
        <w:rPr>
          <w:rFonts w:hint="eastAsia" w:ascii="仿宋_GB2312" w:eastAsia="仿宋_GB2312"/>
          <w:sz w:val="32"/>
          <w:szCs w:val="32"/>
        </w:rPr>
        <w:t>》</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由</w:t>
      </w:r>
      <w:r>
        <w:rPr>
          <w:rFonts w:hint="eastAsia" w:ascii="仿宋_GB2312" w:hAnsi="宋体" w:eastAsia="仿宋_GB2312" w:cs="宋体"/>
          <w:color w:val="000000"/>
          <w:kern w:val="0"/>
          <w:sz w:val="32"/>
          <w:szCs w:val="32"/>
        </w:rPr>
        <w:t>区外高新技术企业填报，</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加盖企业公章</w:t>
      </w:r>
      <w:r>
        <w:rPr>
          <w:rFonts w:hint="eastAsia" w:ascii="仿宋_GB2312" w:hAnsi="宋体" w:eastAsia="仿宋_GB2312" w:cs="宋体"/>
          <w:color w:val="000000"/>
          <w:kern w:val="0"/>
          <w:sz w:val="32"/>
          <w:szCs w:val="32"/>
          <w:lang w:val="en-US" w:eastAsia="zh-CN"/>
        </w:rPr>
        <w:t>的扫描件</w:t>
      </w:r>
      <w:r>
        <w:rPr>
          <w:rFonts w:hint="eastAsia" w:ascii="仿宋_GB2312" w:hAnsi="宋体" w:eastAsia="仿宋_GB2312" w:cs="宋体"/>
          <w:color w:val="000000"/>
          <w:kern w:val="0"/>
          <w:sz w:val="32"/>
          <w:szCs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（2）《国家火炬计划软件产业基地统计报表》（由福州软件园填写，</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仿宋_GB2312" w:hAnsi="宋体" w:eastAsia="仿宋_GB2312" w:cs="宋体"/>
          <w:color w:val="000000"/>
          <w:kern w:val="0"/>
          <w:sz w:val="32"/>
          <w:szCs w:val="32"/>
        </w:rPr>
        <w:t>）</w:t>
      </w:r>
      <w:r>
        <w:rPr>
          <w:rFonts w:hint="eastAsia" w:ascii="宋体" w:hAnsi="宋体" w:eastAsia="仿宋_GB2312" w:cs="宋体"/>
          <w:color w:val="000000"/>
          <w:kern w:val="0"/>
          <w:sz w:val="32"/>
          <w:szCs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（3）《国家火炬特色产业基地统计报表》（</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统计清单见附件</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（4）《创新型产业集群统计报表》（</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仿宋_GB2312" w:hAnsi="宋体" w:eastAsia="仿宋_GB2312" w:cs="宋体"/>
          <w:color w:val="000000"/>
          <w:kern w:val="0"/>
          <w:sz w:val="32"/>
          <w:szCs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宋体" w:hAnsi="宋体" w:eastAsia="仿宋_GB2312" w:cs="宋体"/>
          <w:color w:val="000000"/>
          <w:kern w:val="0"/>
          <w:sz w:val="32"/>
          <w:szCs w:val="32"/>
        </w:rPr>
      </w:pPr>
      <w:r>
        <w:rPr>
          <w:rFonts w:hint="eastAsia" w:ascii="仿宋_GB2312" w:hAnsi="宋体" w:eastAsia="仿宋_GB2312" w:cs="宋体"/>
          <w:color w:val="000000"/>
          <w:kern w:val="0"/>
          <w:sz w:val="32"/>
          <w:szCs w:val="32"/>
        </w:rPr>
        <w:t>（5）</w:t>
      </w:r>
      <w:r>
        <w:rPr>
          <w:rFonts w:hint="eastAsia" w:ascii="宋体" w:hAnsi="宋体" w:eastAsia="仿宋_GB2312" w:cs="宋体"/>
          <w:color w:val="000000"/>
          <w:kern w:val="0"/>
          <w:sz w:val="32"/>
          <w:szCs w:val="32"/>
        </w:rPr>
        <w:t>《国家大学科技园情况统计报表》（</w:t>
      </w:r>
      <w:r>
        <w:rPr>
          <w:rFonts w:hint="eastAsia" w:ascii="宋体" w:hAnsi="宋体" w:eastAsia="仿宋_GB2312" w:cs="宋体"/>
          <w:color w:val="000000"/>
          <w:kern w:val="0"/>
          <w:sz w:val="32"/>
          <w:szCs w:val="32"/>
          <w:lang w:val="en-US" w:eastAsia="zh-CN"/>
        </w:rPr>
        <w:t>由</w:t>
      </w:r>
      <w:r>
        <w:rPr>
          <w:rFonts w:hint="eastAsia" w:ascii="宋体" w:hAnsi="宋体" w:eastAsia="仿宋_GB2312" w:cs="宋体"/>
          <w:color w:val="000000"/>
          <w:kern w:val="0"/>
          <w:sz w:val="32"/>
          <w:szCs w:val="32"/>
        </w:rPr>
        <w:t>福州大学科技园填写，</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宋体" w:hAnsi="宋体" w:eastAsia="仿宋_GB2312" w:cs="宋体"/>
          <w:color w:val="000000"/>
          <w:kern w:val="0"/>
          <w:sz w:val="32"/>
          <w:szCs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宋体" w:hAnsi="宋体" w:eastAsia="仿宋_GB2312" w:cs="宋体"/>
          <w:color w:val="000000"/>
          <w:kern w:val="0"/>
          <w:sz w:val="32"/>
          <w:szCs w:val="32"/>
        </w:rPr>
      </w:pPr>
      <w:r>
        <w:rPr>
          <w:rFonts w:hint="eastAsia" w:ascii="仿宋_GB2312" w:hAnsi="仿宋_GB2312" w:eastAsia="仿宋_GB2312" w:cs="仿宋_GB2312"/>
          <w:color w:val="000000"/>
          <w:kern w:val="0"/>
          <w:sz w:val="32"/>
          <w:szCs w:val="32"/>
        </w:rPr>
        <w:t>（6）</w:t>
      </w:r>
      <w:r>
        <w:rPr>
          <w:rFonts w:hint="eastAsia" w:ascii="宋体" w:hAnsi="宋体" w:eastAsia="仿宋_GB2312" w:cs="宋体"/>
          <w:color w:val="000000"/>
          <w:kern w:val="0"/>
          <w:sz w:val="32"/>
          <w:szCs w:val="32"/>
        </w:rPr>
        <w:t>《省级高新技术产业开发区基本情况统计报表》（</w:t>
      </w:r>
      <w:r>
        <w:rPr>
          <w:rFonts w:hint="eastAsia" w:ascii="宋体" w:hAnsi="宋体" w:eastAsia="仿宋_GB2312" w:cs="宋体"/>
          <w:color w:val="000000"/>
          <w:kern w:val="0"/>
          <w:sz w:val="32"/>
          <w:szCs w:val="32"/>
          <w:lang w:val="en-US" w:eastAsia="zh-CN"/>
        </w:rPr>
        <w:t>由</w:t>
      </w:r>
      <w:r>
        <w:rPr>
          <w:rFonts w:hint="eastAsia" w:ascii="宋体" w:hAnsi="宋体" w:eastAsia="仿宋_GB2312" w:cs="宋体"/>
          <w:color w:val="000000"/>
          <w:kern w:val="0"/>
          <w:sz w:val="32"/>
          <w:szCs w:val="32"/>
        </w:rPr>
        <w:t>泉州半导体高新区、南平高新区、武平高新区</w:t>
      </w:r>
      <w:r>
        <w:rPr>
          <w:rFonts w:hint="eastAsia" w:ascii="宋体" w:hAnsi="宋体" w:eastAsia="仿宋_GB2312" w:cs="宋体"/>
          <w:color w:val="000000"/>
          <w:kern w:val="0"/>
          <w:sz w:val="32"/>
          <w:szCs w:val="32"/>
          <w:lang w:eastAsia="zh-CN"/>
        </w:rPr>
        <w:t>、</w:t>
      </w:r>
      <w:r>
        <w:rPr>
          <w:rFonts w:hint="eastAsia" w:ascii="宋体" w:hAnsi="宋体" w:eastAsia="仿宋_GB2312" w:cs="宋体"/>
          <w:color w:val="000000"/>
          <w:kern w:val="0"/>
          <w:sz w:val="32"/>
          <w:szCs w:val="32"/>
          <w:lang w:val="en-US" w:eastAsia="zh-CN"/>
        </w:rPr>
        <w:t>拓荣高新区填写</w:t>
      </w:r>
      <w:r>
        <w:rPr>
          <w:rFonts w:hint="eastAsia" w:ascii="宋体"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宋体" w:hAnsi="宋体" w:eastAsia="仿宋_GB2312" w:cs="宋体"/>
          <w:color w:val="000000"/>
          <w:kern w:val="0"/>
          <w:sz w:val="32"/>
          <w:szCs w:val="32"/>
        </w:rPr>
        <w:t>）</w:t>
      </w:r>
      <w:r>
        <w:rPr>
          <w:rFonts w:hint="eastAsia" w:ascii="宋体" w:hAnsi="宋体" w:eastAsia="仿宋_GB2312" w:cs="宋体"/>
          <w:color w:val="000000"/>
          <w:kern w:val="0"/>
          <w:sz w:val="32"/>
          <w:szCs w:val="32"/>
          <w:lang w:eastAsia="zh-CN"/>
        </w:rPr>
        <w:t>。</w:t>
      </w:r>
    </w:p>
    <w:p>
      <w:pPr>
        <w:keepNext w:val="0"/>
        <w:keepLines w:val="0"/>
        <w:pageBreakBefore w:val="0"/>
        <w:kinsoku/>
        <w:overflowPunct/>
        <w:topLinePunct w:val="0"/>
        <w:autoSpaceDE/>
        <w:autoSpaceDN/>
        <w:bidi w:val="0"/>
        <w:snapToGrid w:val="0"/>
        <w:spacing w:beforeLines="0" w:afterLines="0" w:line="600" w:lineRule="exact"/>
        <w:ind w:firstLine="643" w:firstLineChars="200"/>
        <w:textAlignment w:val="auto"/>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5.市级科技</w:t>
      </w:r>
      <w:r>
        <w:rPr>
          <w:rFonts w:hint="eastAsia" w:ascii="仿宋_GB2312" w:hAnsi="宋体" w:eastAsia="仿宋_GB2312" w:cs="宋体"/>
          <w:b/>
          <w:bCs/>
          <w:color w:val="000000"/>
          <w:kern w:val="0"/>
          <w:sz w:val="32"/>
          <w:szCs w:val="32"/>
          <w:lang w:val="en-US" w:eastAsia="zh-CN"/>
        </w:rPr>
        <w:t>主管</w:t>
      </w:r>
      <w:r>
        <w:rPr>
          <w:rFonts w:hint="eastAsia" w:ascii="仿宋_GB2312" w:hAnsi="宋体" w:eastAsia="仿宋_GB2312" w:cs="宋体"/>
          <w:b/>
          <w:bCs/>
          <w:color w:val="000000"/>
          <w:kern w:val="0"/>
          <w:sz w:val="32"/>
          <w:szCs w:val="32"/>
        </w:rPr>
        <w:t>部门还需提交以下</w:t>
      </w:r>
      <w:r>
        <w:rPr>
          <w:rFonts w:hint="eastAsia" w:ascii="仿宋_GB2312" w:hAnsi="宋体" w:eastAsia="仿宋_GB2312" w:cs="宋体"/>
          <w:b/>
          <w:bCs/>
          <w:color w:val="000000"/>
          <w:kern w:val="0"/>
          <w:sz w:val="32"/>
          <w:szCs w:val="32"/>
          <w:lang w:val="en-US" w:eastAsia="zh-CN"/>
        </w:rPr>
        <w:t>材料</w:t>
      </w:r>
      <w:r>
        <w:rPr>
          <w:rFonts w:hint="eastAsia" w:ascii="仿宋_GB2312" w:hAnsi="宋体" w:eastAsia="仿宋_GB2312" w:cs="宋体"/>
          <w:b/>
          <w:bCs/>
          <w:color w:val="000000"/>
          <w:kern w:val="0"/>
          <w:sz w:val="32"/>
          <w:szCs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hint="eastAsia" w:ascii="仿宋_GB2312" w:hAnsi="仿宋" w:eastAsia="仿宋_GB2312"/>
          <w:sz w:val="32"/>
        </w:rPr>
      </w:pPr>
      <w:r>
        <w:rPr>
          <w:rFonts w:hint="eastAsia"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lang w:val="en-US" w:eastAsia="zh-CN"/>
        </w:rPr>
        <w:t>经</w:t>
      </w:r>
      <w:r>
        <w:rPr>
          <w:rFonts w:hint="eastAsia" w:ascii="仿宋_GB2312" w:hAnsi="仿宋" w:eastAsia="仿宋_GB2312"/>
          <w:sz w:val="32"/>
          <w:lang w:val="en-US" w:eastAsia="zh-CN"/>
        </w:rPr>
        <w:t>平台</w:t>
      </w:r>
      <w:r>
        <w:rPr>
          <w:rFonts w:hint="eastAsia" w:ascii="仿宋_GB2312" w:hAnsi="仿宋" w:eastAsia="仿宋_GB2312"/>
          <w:sz w:val="32"/>
        </w:rPr>
        <w:t>系统打印的辖区内营业收入2亿元</w:t>
      </w:r>
      <w:r>
        <w:rPr>
          <w:rFonts w:hint="eastAsia" w:ascii="仿宋_GB2312" w:hAnsi="仿宋" w:eastAsia="仿宋_GB2312"/>
          <w:sz w:val="32"/>
          <w:lang w:val="en-US" w:eastAsia="zh-CN"/>
        </w:rPr>
        <w:t>人民币</w:t>
      </w:r>
      <w:r>
        <w:rPr>
          <w:rFonts w:hint="eastAsia" w:ascii="仿宋_GB2312" w:hAnsi="仿宋" w:eastAsia="仿宋_GB2312"/>
          <w:sz w:val="32"/>
        </w:rPr>
        <w:t>以上</w:t>
      </w:r>
      <w:r>
        <w:rPr>
          <w:rFonts w:hint="eastAsia" w:ascii="仿宋_GB2312" w:hAnsi="仿宋" w:eastAsia="仿宋_GB2312"/>
          <w:sz w:val="32"/>
          <w:lang w:eastAsia="zh-CN"/>
        </w:rPr>
        <w:t>的</w:t>
      </w:r>
      <w:r>
        <w:rPr>
          <w:rFonts w:hint="eastAsia" w:ascii="仿宋_GB2312" w:hAnsi="仿宋" w:eastAsia="仿宋_GB2312"/>
          <w:sz w:val="32"/>
          <w:lang w:val="en-US" w:eastAsia="zh-CN"/>
        </w:rPr>
        <w:t>区外高新技术企业</w:t>
      </w:r>
      <w:r>
        <w:rPr>
          <w:rFonts w:hint="eastAsia" w:ascii="仿宋_GB2312" w:hAnsi="仿宋" w:eastAsia="仿宋_GB2312"/>
          <w:sz w:val="32"/>
        </w:rPr>
        <w:t>清单</w:t>
      </w:r>
      <w:r>
        <w:rPr>
          <w:rFonts w:hint="eastAsia" w:ascii="仿宋_GB2312" w:hAnsi="仿宋" w:eastAsia="仿宋_GB2312"/>
          <w:sz w:val="32"/>
          <w:lang w:eastAsia="zh-CN"/>
        </w:rPr>
        <w:t>，</w:t>
      </w:r>
      <w:r>
        <w:rPr>
          <w:rFonts w:hint="eastAsia" w:ascii="仿宋_GB2312" w:hAnsi="仿宋" w:eastAsia="仿宋_GB2312"/>
          <w:sz w:val="32"/>
          <w:lang w:val="en-US" w:eastAsia="zh-CN"/>
        </w:rPr>
        <w:t>以及企业报表封面扫描件（</w:t>
      </w:r>
      <w:r>
        <w:rPr>
          <w:rFonts w:hint="eastAsia" w:ascii="仿宋_GB2312" w:hAnsi="宋体" w:eastAsia="仿宋_GB2312" w:cs="宋体"/>
          <w:color w:val="000000"/>
          <w:kern w:val="0"/>
          <w:sz w:val="32"/>
          <w:szCs w:val="32"/>
          <w:lang w:val="en-US" w:eastAsia="zh-CN"/>
        </w:rPr>
        <w:t>带水印签字并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企业</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按照系统导出的企业清单顺序编号</w:t>
      </w:r>
      <w:r>
        <w:rPr>
          <w:rFonts w:hint="eastAsia" w:ascii="仿宋_GB2312" w:hAnsi="仿宋" w:eastAsia="仿宋_GB2312"/>
          <w:sz w:val="32"/>
          <w:lang w:val="en-US" w:eastAsia="zh-CN"/>
        </w:rPr>
        <w:t>）</w:t>
      </w:r>
      <w:r>
        <w:rPr>
          <w:rFonts w:hint="eastAsia" w:ascii="仿宋_GB2312" w:hAnsi="仿宋" w:eastAsia="仿宋_GB2312"/>
          <w:sz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仿宋" w:eastAsia="仿宋_GB2312"/>
          <w:sz w:val="32"/>
        </w:rPr>
      </w:pPr>
      <w:r>
        <w:rPr>
          <w:rFonts w:hint="eastAsia" w:ascii="仿宋_GB2312" w:hAnsi="仿宋" w:eastAsia="仿宋_GB2312"/>
          <w:sz w:val="32"/>
        </w:rPr>
        <w:t>（2）</w:t>
      </w:r>
      <w:r>
        <w:rPr>
          <w:rFonts w:hint="eastAsia" w:ascii="仿宋_GB2312" w:hAnsi="宋体" w:eastAsia="仿宋_GB2312" w:cs="宋体"/>
          <w:color w:val="000000"/>
          <w:kern w:val="0"/>
          <w:sz w:val="32"/>
          <w:szCs w:val="32"/>
          <w:lang w:val="en-US" w:eastAsia="zh-CN"/>
        </w:rPr>
        <w:t>经</w:t>
      </w:r>
      <w:r>
        <w:rPr>
          <w:rFonts w:hint="eastAsia" w:ascii="仿宋_GB2312" w:hAnsi="仿宋" w:eastAsia="仿宋_GB2312"/>
          <w:sz w:val="32"/>
          <w:lang w:val="en-US" w:eastAsia="zh-CN"/>
        </w:rPr>
        <w:t>平台</w:t>
      </w:r>
      <w:r>
        <w:rPr>
          <w:rFonts w:hint="eastAsia" w:ascii="仿宋_GB2312" w:hAnsi="仿宋" w:eastAsia="仿宋_GB2312"/>
          <w:sz w:val="32"/>
        </w:rPr>
        <w:t>系统打印的</w:t>
      </w:r>
      <w:r>
        <w:rPr>
          <w:rFonts w:hint="eastAsia" w:ascii="仿宋_GB2312" w:hAnsi="仿宋" w:eastAsia="仿宋_GB2312"/>
          <w:sz w:val="32"/>
          <w:lang w:val="en-US" w:eastAsia="zh-CN"/>
        </w:rPr>
        <w:t>辖区内</w:t>
      </w:r>
      <w:r>
        <w:rPr>
          <w:rFonts w:hint="eastAsia" w:ascii="仿宋_GB2312" w:hAnsi="仿宋" w:eastAsia="仿宋_GB2312"/>
          <w:sz w:val="32"/>
        </w:rPr>
        <w:t>上市企业清单；</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仿宋" w:eastAsia="仿宋_GB2312"/>
          <w:sz w:val="32"/>
        </w:rPr>
      </w:pPr>
      <w:r>
        <w:rPr>
          <w:rFonts w:hint="eastAsia" w:ascii="仿宋_GB2312" w:hAnsi="仿宋" w:eastAsia="仿宋_GB2312"/>
          <w:sz w:val="32"/>
        </w:rPr>
        <w:t>（3）</w:t>
      </w:r>
      <w:r>
        <w:rPr>
          <w:rFonts w:hint="eastAsia" w:ascii="仿宋_GB2312" w:hAnsi="仿宋" w:eastAsia="仿宋_GB2312"/>
          <w:sz w:val="32"/>
          <w:lang w:val="en-US" w:eastAsia="zh-CN"/>
        </w:rPr>
        <w:t>经平台</w:t>
      </w:r>
      <w:r>
        <w:rPr>
          <w:rFonts w:hint="eastAsia" w:ascii="仿宋_GB2312" w:hAnsi="仿宋" w:eastAsia="仿宋_GB2312"/>
          <w:sz w:val="32"/>
        </w:rPr>
        <w:t>系统打印</w:t>
      </w:r>
      <w:r>
        <w:rPr>
          <w:rFonts w:hint="eastAsia" w:ascii="仿宋_GB2312" w:hAnsi="仿宋" w:eastAsia="仿宋_GB2312"/>
          <w:sz w:val="32"/>
          <w:lang w:eastAsia="zh-CN"/>
        </w:rPr>
        <w:t>的</w:t>
      </w:r>
      <w:r>
        <w:rPr>
          <w:rFonts w:hint="eastAsia" w:ascii="仿宋_GB2312" w:hAnsi="仿宋" w:eastAsia="仿宋_GB2312"/>
          <w:sz w:val="32"/>
          <w:lang w:val="en-US" w:eastAsia="zh-CN"/>
        </w:rPr>
        <w:t>辖区内</w:t>
      </w:r>
      <w:r>
        <w:rPr>
          <w:rFonts w:hint="eastAsia" w:ascii="仿宋_GB2312" w:hAnsi="仿宋" w:eastAsia="仿宋_GB2312"/>
          <w:sz w:val="32"/>
        </w:rPr>
        <w:t>企业当年汇总数据与上年比较清单；</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rPr>
        <w:t>（4）企业汇总数据同比变化较大情况</w:t>
      </w:r>
      <w:r>
        <w:rPr>
          <w:rFonts w:hint="eastAsia" w:ascii="仿宋_GB2312" w:hAnsi="仿宋" w:eastAsia="仿宋_GB2312"/>
          <w:sz w:val="32"/>
          <w:lang w:val="en-US" w:eastAsia="zh-CN"/>
        </w:rPr>
        <w:t>说明（如营业收入、从业人员和知识产权情况等主要指标的同比发生较大变化，或者有新入统或调出统计的大企业、</w:t>
      </w:r>
      <w:r>
        <w:rPr>
          <w:rFonts w:hint="eastAsia" w:ascii="仿宋_GB2312" w:hAnsi="仿宋" w:eastAsia="仿宋_GB2312"/>
          <w:sz w:val="32"/>
        </w:rPr>
        <w:t>大企业效益急剧变化等</w:t>
      </w:r>
      <w:r>
        <w:rPr>
          <w:rFonts w:hint="eastAsia" w:ascii="仿宋_GB2312" w:hAnsi="仿宋" w:eastAsia="仿宋_GB2312"/>
          <w:sz w:val="32"/>
          <w:lang w:val="en-US" w:eastAsia="zh-CN"/>
        </w:rPr>
        <w:t>原因造成的同比较大变化）</w:t>
      </w:r>
      <w:r>
        <w:rPr>
          <w:rFonts w:hint="eastAsia" w:ascii="仿宋_GB2312" w:hAnsi="仿宋" w:eastAsia="仿宋_GB2312"/>
          <w:sz w:val="32"/>
        </w:rPr>
        <w:t>，请提供</w:t>
      </w:r>
      <w:r>
        <w:rPr>
          <w:rFonts w:hint="eastAsia" w:ascii="仿宋_GB2312" w:hAnsi="仿宋" w:eastAsia="仿宋_GB2312"/>
          <w:b/>
          <w:bCs/>
          <w:sz w:val="32"/>
          <w:lang w:val="en-US" w:eastAsia="zh-CN"/>
        </w:rPr>
        <w:t>具体</w:t>
      </w:r>
      <w:r>
        <w:rPr>
          <w:rFonts w:hint="eastAsia" w:ascii="仿宋_GB2312" w:hAnsi="仿宋" w:eastAsia="仿宋_GB2312"/>
          <w:b/>
          <w:bCs/>
          <w:sz w:val="32"/>
        </w:rPr>
        <w:t>变化原因情况说明</w:t>
      </w:r>
      <w:r>
        <w:rPr>
          <w:rFonts w:hint="eastAsia" w:ascii="仿宋_GB2312" w:hAnsi="仿宋" w:eastAsia="仿宋_GB2312"/>
          <w:sz w:val="32"/>
        </w:rPr>
        <w:t>；</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hint="eastAsia" w:ascii="仿宋_GB2312" w:hAnsi="仿宋" w:eastAsia="仿宋_GB2312"/>
          <w:sz w:val="32"/>
          <w:highlight w:val="none"/>
        </w:rPr>
      </w:pPr>
      <w:r>
        <w:rPr>
          <w:rFonts w:hint="eastAsia" w:ascii="仿宋_GB2312" w:hAnsi="仿宋" w:eastAsia="仿宋_GB2312"/>
          <w:sz w:val="32"/>
        </w:rPr>
        <w:t>（5）</w:t>
      </w:r>
      <w:r>
        <w:rPr>
          <w:rFonts w:hint="eastAsia" w:ascii="仿宋_GB2312" w:hAnsi="仿宋" w:eastAsia="仿宋_GB2312"/>
          <w:sz w:val="32"/>
          <w:lang w:val="en-US" w:eastAsia="zh-CN"/>
        </w:rPr>
        <w:t>经平台</w:t>
      </w:r>
      <w:r>
        <w:rPr>
          <w:rFonts w:hint="eastAsia" w:ascii="仿宋_GB2312" w:hAnsi="仿宋" w:eastAsia="仿宋_GB2312"/>
          <w:sz w:val="32"/>
        </w:rPr>
        <w:t>系统中导出的</w:t>
      </w:r>
      <w:r>
        <w:rPr>
          <w:rFonts w:hint="eastAsia" w:ascii="仿宋_GB2312" w:hAnsi="仿宋" w:eastAsia="仿宋_GB2312"/>
          <w:sz w:val="32"/>
          <w:lang w:val="en-US" w:eastAsia="zh-CN"/>
        </w:rPr>
        <w:t>辖区</w:t>
      </w:r>
      <w:r>
        <w:rPr>
          <w:rFonts w:hint="eastAsia" w:ascii="仿宋_GB2312" w:hAnsi="仿宋" w:eastAsia="仿宋_GB2312"/>
          <w:sz w:val="32"/>
        </w:rPr>
        <w:t>内已撤销企业清单（清单信息包含</w:t>
      </w:r>
      <w:r>
        <w:rPr>
          <w:rFonts w:hint="eastAsia" w:ascii="仿宋_GB2312" w:hAnsi="仿宋" w:eastAsia="仿宋_GB2312"/>
          <w:sz w:val="32"/>
          <w:lang w:val="en-US" w:eastAsia="zh-CN"/>
        </w:rPr>
        <w:t>企业统一社会信用代码、</w:t>
      </w:r>
      <w:r>
        <w:rPr>
          <w:rFonts w:hint="eastAsia" w:ascii="仿宋_GB2312" w:hAnsi="仿宋" w:eastAsia="仿宋_GB2312"/>
          <w:sz w:val="32"/>
        </w:rPr>
        <w:t>企业名称、所属地域、撤销原因）；</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hint="eastAsia" w:ascii="仿宋_GB2312" w:hAnsi="仿宋" w:eastAsia="仿宋_GB2312"/>
          <w:sz w:val="32"/>
          <w:highlight w:val="none"/>
        </w:rPr>
      </w:pPr>
      <w:r>
        <w:rPr>
          <w:rFonts w:hint="eastAsia" w:ascii="仿宋_GB2312" w:hAnsi="仿宋" w:eastAsia="仿宋_GB2312"/>
          <w:sz w:val="32"/>
          <w:highlight w:val="none"/>
        </w:rPr>
        <w:t>（</w:t>
      </w:r>
      <w:r>
        <w:rPr>
          <w:rFonts w:ascii="仿宋_GB2312" w:hAnsi="仿宋" w:eastAsia="仿宋_GB2312"/>
          <w:sz w:val="32"/>
          <w:highlight w:val="none"/>
        </w:rPr>
        <w:t>6）</w:t>
      </w:r>
      <w:r>
        <w:rPr>
          <w:rFonts w:hint="eastAsia" w:ascii="仿宋_GB2312" w:hAnsi="仿宋" w:eastAsia="仿宋_GB2312"/>
          <w:sz w:val="32"/>
          <w:highlight w:val="none"/>
        </w:rPr>
        <w:t>错警因分类说明</w:t>
      </w:r>
      <w:r>
        <w:rPr>
          <w:rFonts w:hint="eastAsia" w:ascii="仿宋_GB2312" w:hAnsi="仿宋" w:eastAsia="仿宋_GB2312"/>
          <w:b/>
          <w:bCs/>
          <w:sz w:val="32"/>
          <w:highlight w:val="none"/>
        </w:rPr>
        <w:t>（</w:t>
      </w:r>
      <w:r>
        <w:rPr>
          <w:rFonts w:hint="eastAsia" w:ascii="仿宋_GB2312" w:hAnsi="仿宋" w:eastAsia="仿宋_GB2312"/>
          <w:b/>
          <w:bCs/>
          <w:sz w:val="32"/>
          <w:highlight w:val="none"/>
          <w:lang w:val="en-US" w:eastAsia="zh-CN"/>
        </w:rPr>
        <w:t>企业错警因整体情况并</w:t>
      </w:r>
      <w:r>
        <w:rPr>
          <w:rFonts w:hint="eastAsia" w:ascii="仿宋_GB2312" w:hAnsi="仿宋" w:eastAsia="仿宋_GB2312"/>
          <w:b/>
          <w:bCs/>
          <w:sz w:val="32"/>
          <w:highlight w:val="none"/>
        </w:rPr>
        <w:t>针对出现比例较高的错警因进行分析说明）</w:t>
      </w:r>
      <w:r>
        <w:rPr>
          <w:rFonts w:hint="eastAsia" w:ascii="仿宋_GB2312" w:hAnsi="仿宋" w:eastAsia="仿宋_GB2312"/>
          <w:sz w:val="32"/>
          <w:highlight w:val="none"/>
        </w:rPr>
        <w:t>。</w:t>
      </w:r>
    </w:p>
    <w:p>
      <w:pPr>
        <w:pStyle w:val="2"/>
        <w:keepNext w:val="0"/>
        <w:keepLines w:val="0"/>
        <w:pageBreakBefore w:val="0"/>
        <w:kinsoku/>
        <w:overflowPunct/>
        <w:topLinePunct w:val="0"/>
        <w:autoSpaceDE/>
        <w:autoSpaceDN/>
        <w:bidi w:val="0"/>
        <w:spacing w:line="600" w:lineRule="exact"/>
        <w:textAlignment w:val="auto"/>
        <w:rPr>
          <w:b/>
          <w:bCs/>
          <w:highlight w:val="none"/>
        </w:rPr>
      </w:pPr>
      <w:r>
        <w:rPr>
          <w:rFonts w:hint="eastAsia" w:ascii="仿宋_GB2312" w:hAnsi="宋体" w:eastAsia="仿宋_GB2312" w:cs="宋体"/>
          <w:b w:val="0"/>
          <w:bCs w:val="0"/>
          <w:color w:val="000000"/>
          <w:kern w:val="0"/>
          <w:sz w:val="32"/>
          <w:szCs w:val="32"/>
          <w:highlight w:val="none"/>
          <w:lang w:val="en-US" w:eastAsia="zh-CN"/>
        </w:rPr>
        <w:t xml:space="preserve">   </w:t>
      </w:r>
      <w:r>
        <w:rPr>
          <w:rFonts w:hint="eastAsia" w:ascii="仿宋_GB2312" w:hAnsi="宋体" w:eastAsia="仿宋_GB2312" w:cs="宋体"/>
          <w:b/>
          <w:bCs/>
          <w:color w:val="000000"/>
          <w:kern w:val="0"/>
          <w:sz w:val="32"/>
          <w:szCs w:val="32"/>
          <w:highlight w:val="none"/>
          <w:lang w:val="en-US" w:eastAsia="zh-CN"/>
        </w:rPr>
        <w:t xml:space="preserve">  以上材料请提供</w:t>
      </w:r>
      <w:r>
        <w:rPr>
          <w:rFonts w:hint="eastAsia" w:ascii="仿宋_GB2312" w:hAnsi="宋体" w:eastAsia="仿宋_GB2312" w:cs="宋体"/>
          <w:b/>
          <w:bCs/>
          <w:color w:val="000000"/>
          <w:kern w:val="0"/>
          <w:sz w:val="32"/>
          <w:szCs w:val="32"/>
          <w:highlight w:val="none"/>
        </w:rPr>
        <w:t>加盖公章</w:t>
      </w:r>
      <w:r>
        <w:rPr>
          <w:rFonts w:hint="eastAsia" w:ascii="仿宋_GB2312" w:hAnsi="宋体" w:eastAsia="仿宋_GB2312" w:cs="宋体"/>
          <w:b/>
          <w:bCs/>
          <w:color w:val="000000"/>
          <w:kern w:val="0"/>
          <w:sz w:val="32"/>
          <w:szCs w:val="32"/>
          <w:highlight w:val="none"/>
          <w:lang w:val="en-US" w:eastAsia="zh-CN"/>
        </w:rPr>
        <w:t>的扫描件</w:t>
      </w:r>
      <w:r>
        <w:rPr>
          <w:rFonts w:hint="eastAsia" w:ascii="仿宋_GB2312" w:hAnsi="宋体" w:eastAsia="仿宋_GB2312" w:cs="宋体"/>
          <w:b/>
          <w:bCs/>
          <w:color w:val="000000"/>
          <w:kern w:val="0"/>
          <w:sz w:val="32"/>
          <w:szCs w:val="32"/>
          <w:highlight w:val="none"/>
          <w:lang w:eastAsia="zh-CN"/>
        </w:rPr>
        <w:t>。</w:t>
      </w:r>
    </w:p>
    <w:p>
      <w:pPr>
        <w:keepNext w:val="0"/>
        <w:keepLines w:val="0"/>
        <w:pageBreakBefore w:val="0"/>
        <w:kinsoku/>
        <w:wordWrap w:val="0"/>
        <w:overflowPunct/>
        <w:topLinePunct w:val="0"/>
        <w:autoSpaceDE/>
        <w:autoSpaceDN/>
        <w:bidi w:val="0"/>
        <w:snapToGrid w:val="0"/>
        <w:spacing w:beforeLines="0" w:afterLines="0" w:line="600" w:lineRule="exact"/>
        <w:ind w:firstLine="640" w:firstLineChars="200"/>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三、</w:t>
      </w:r>
      <w:r>
        <w:rPr>
          <w:rFonts w:hint="eastAsia" w:ascii="黑体" w:hAnsi="黑体" w:eastAsia="黑体" w:cs="黑体"/>
          <w:color w:val="000000"/>
          <w:kern w:val="0"/>
          <w:sz w:val="32"/>
          <w:szCs w:val="32"/>
          <w:lang w:val="en-US" w:eastAsia="zh-CN"/>
        </w:rPr>
        <w:t>其他事项</w:t>
      </w:r>
    </w:p>
    <w:p>
      <w:pPr>
        <w:keepNext w:val="0"/>
        <w:keepLines w:val="0"/>
        <w:pageBreakBefore w:val="0"/>
        <w:kinsoku/>
        <w:wordWrap w:val="0"/>
        <w:overflowPunct/>
        <w:topLinePunct w:val="0"/>
        <w:autoSpaceDE/>
        <w:autoSpaceDN/>
        <w:bidi w:val="0"/>
        <w:snapToGrid w:val="0"/>
        <w:spacing w:beforeLines="0" w:afterLines="0" w:line="60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（一）</w:t>
      </w:r>
      <w:r>
        <w:rPr>
          <w:rFonts w:hint="eastAsia" w:ascii="仿宋_GB2312" w:hAnsi="宋体" w:eastAsia="仿宋_GB2312" w:cs="宋体"/>
          <w:color w:val="000000"/>
          <w:kern w:val="0"/>
          <w:sz w:val="32"/>
          <w:szCs w:val="32"/>
        </w:rPr>
        <w:t>各类统计报表、相关表格及国民经济行业代码等，可在科技部火炬中心网站(</w:t>
      </w:r>
      <w:r>
        <w:fldChar w:fldCharType="begin"/>
      </w:r>
      <w:r>
        <w:instrText xml:space="preserve"> HYPERLINK "http://www.chinatorch.gov.cn" </w:instrText>
      </w:r>
      <w:r>
        <w:fldChar w:fldCharType="separate"/>
      </w:r>
      <w:r>
        <w:rPr>
          <w:rStyle w:val="14"/>
          <w:rFonts w:eastAsia="仿宋_GB2312"/>
          <w:kern w:val="0"/>
          <w:sz w:val="32"/>
          <w:szCs w:val="32"/>
        </w:rPr>
        <w:t>http://www.chinatorch.gov.cn</w:t>
      </w:r>
      <w:r>
        <w:rPr>
          <w:rStyle w:val="14"/>
          <w:rFonts w:eastAsia="仿宋_GB2312"/>
          <w:kern w:val="0"/>
          <w:sz w:val="32"/>
          <w:szCs w:val="32"/>
        </w:rPr>
        <w:fldChar w:fldCharType="end"/>
      </w:r>
      <w:r>
        <w:rPr>
          <w:rFonts w:hint="eastAsia" w:ascii="仿宋_GB2312" w:hAnsi="宋体" w:eastAsia="仿宋_GB2312" w:cs="宋体"/>
          <w:color w:val="000000"/>
          <w:kern w:val="0"/>
          <w:sz w:val="32"/>
          <w:szCs w:val="32"/>
        </w:rPr>
        <w:t>)“专项工作”中“火炬统计”栏目里下载。</w:t>
      </w:r>
    </w:p>
    <w:p>
      <w:pPr>
        <w:keepNext w:val="0"/>
        <w:keepLines w:val="0"/>
        <w:pageBreakBefore w:val="0"/>
        <w:kinsoku/>
        <w:wordWrap w:val="0"/>
        <w:overflowPunct/>
        <w:topLinePunct w:val="0"/>
        <w:autoSpaceDE/>
        <w:autoSpaceDN/>
        <w:bidi w:val="0"/>
        <w:snapToGrid w:val="0"/>
        <w:spacing w:beforeLines="0" w:afterLines="0" w:line="60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（二）</w:t>
      </w:r>
      <w:r>
        <w:rPr>
          <w:rFonts w:hint="eastAsia" w:ascii="仿宋_GB2312" w:hAnsi="宋体" w:eastAsia="仿宋_GB2312" w:cs="宋体"/>
          <w:color w:val="000000"/>
          <w:kern w:val="0"/>
          <w:sz w:val="32"/>
          <w:szCs w:val="32"/>
        </w:rPr>
        <w:t>根据《高新技术企业认定管理办法》（国科发火〔2016〕32号），企业获得高新技术企业资格后，</w:t>
      </w:r>
      <w:r>
        <w:rPr>
          <w:rFonts w:hint="eastAsia" w:ascii="仿宋_GB2312" w:hAnsi="宋体" w:eastAsia="仿宋_GB2312" w:cs="宋体"/>
          <w:color w:val="000000"/>
          <w:kern w:val="0"/>
          <w:sz w:val="32"/>
          <w:szCs w:val="32"/>
          <w:lang w:val="en-US" w:eastAsia="zh-CN"/>
        </w:rPr>
        <w:t>应</w:t>
      </w:r>
      <w:r>
        <w:rPr>
          <w:rFonts w:hint="eastAsia" w:ascii="仿宋_GB2312" w:hAnsi="宋体" w:eastAsia="仿宋_GB2312" w:cs="宋体"/>
          <w:color w:val="000000"/>
          <w:kern w:val="0"/>
          <w:sz w:val="32"/>
          <w:szCs w:val="32"/>
        </w:rPr>
        <w:t>在资格有效期内每年5月底前</w:t>
      </w:r>
      <w:r>
        <w:rPr>
          <w:rFonts w:hint="eastAsia" w:ascii="仿宋_GB2312" w:hAnsi="宋体" w:eastAsia="仿宋_GB2312" w:cs="宋体"/>
          <w:color w:val="000000"/>
          <w:kern w:val="0"/>
          <w:sz w:val="32"/>
          <w:szCs w:val="32"/>
          <w:lang w:val="en-US" w:eastAsia="zh-CN"/>
        </w:rPr>
        <w:t>填报</w:t>
      </w:r>
      <w:r>
        <w:rPr>
          <w:rFonts w:hint="eastAsia" w:ascii="仿宋_GB2312" w:hAnsi="宋体" w:eastAsia="仿宋_GB2312" w:cs="宋体"/>
          <w:color w:val="000000"/>
          <w:kern w:val="0"/>
          <w:sz w:val="32"/>
          <w:szCs w:val="32"/>
        </w:rPr>
        <w:t>上一年年度发展情况报表。为便于企业填报，建立了火炬统计调查企业表与高新技术企业年报填报工作数据共享机制，高新技术企业直接通过火炬统计调查信息系统完成年度发展情况报表的填报及修改工作。</w:t>
      </w:r>
    </w:p>
    <w:p>
      <w:pPr>
        <w:pStyle w:val="2"/>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三）请相关单位认真按照科技部火炬中心相关统计要求，认真贯彻落实《关于更加有效发挥统计监督职能作用的意见》、《关于深化统计管理体制改革提高统计数据真实性的意见》等文件要求做好工作部署，所有填报单位应做到据实、及时、准确报送统计数据。</w:t>
      </w:r>
    </w:p>
    <w:p>
      <w:pPr>
        <w:pStyle w:val="2"/>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 xml:space="preserve">    四、</w:t>
      </w:r>
      <w:r>
        <w:rPr>
          <w:rFonts w:hint="eastAsia" w:ascii="黑体" w:hAnsi="黑体" w:eastAsia="黑体" w:cs="黑体"/>
          <w:color w:val="000000"/>
          <w:kern w:val="0"/>
          <w:sz w:val="32"/>
          <w:szCs w:val="32"/>
        </w:rPr>
        <w:t>联系方式</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年度火炬统计工作委托</w:t>
      </w:r>
      <w:r>
        <w:rPr>
          <w:rFonts w:hint="eastAsia" w:ascii="仿宋_GB2312" w:hAnsi="宋体" w:eastAsia="仿宋_GB2312" w:cs="宋体"/>
          <w:color w:val="000000"/>
          <w:kern w:val="0"/>
          <w:sz w:val="32"/>
          <w:szCs w:val="32"/>
          <w:lang w:val="en-US" w:eastAsia="zh-CN"/>
        </w:rPr>
        <w:t>福建</w:t>
      </w:r>
      <w:r>
        <w:rPr>
          <w:rFonts w:hint="eastAsia" w:ascii="仿宋_GB2312" w:hAnsi="宋体" w:eastAsia="仿宋_GB2312" w:cs="宋体"/>
          <w:color w:val="000000"/>
          <w:kern w:val="0"/>
          <w:sz w:val="32"/>
          <w:szCs w:val="32"/>
        </w:rPr>
        <w:t>省高新技术创业服务中心承办，联系电话：0591-</w:t>
      </w:r>
      <w:r>
        <w:rPr>
          <w:rFonts w:hint="eastAsia" w:ascii="仿宋_GB2312" w:hAnsi="宋体" w:eastAsia="仿宋_GB2312" w:cs="宋体"/>
          <w:color w:val="000000"/>
          <w:kern w:val="0"/>
          <w:sz w:val="32"/>
          <w:szCs w:val="32"/>
          <w:lang w:val="en-US" w:eastAsia="zh-CN"/>
        </w:rPr>
        <w:t>83724617、</w:t>
      </w:r>
      <w:r>
        <w:rPr>
          <w:rFonts w:hint="eastAsia" w:ascii="仿宋_GB2312" w:hAnsi="宋体" w:eastAsia="仿宋_GB2312" w:cs="宋体"/>
          <w:color w:val="000000"/>
          <w:kern w:val="0"/>
          <w:sz w:val="32"/>
          <w:szCs w:val="32"/>
        </w:rPr>
        <w:t>87645521，邮箱：</w:t>
      </w: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HYPERLINK "mailto:</w:instrText>
      </w:r>
      <w:r>
        <w:rPr>
          <w:rStyle w:val="12"/>
          <w:rFonts w:ascii="仿宋_GB2312" w:hAnsi="宋体" w:eastAsia="仿宋_GB2312" w:cs="宋体"/>
          <w:kern w:val="0"/>
          <w:sz w:val="32"/>
          <w:szCs w:val="32"/>
        </w:rPr>
        <w:instrText xml:space="preserve">cy905@fjfhq.com</w:instrText>
      </w:r>
      <w:r>
        <w:rPr>
          <w:rStyle w:val="12"/>
          <w:rFonts w:hint="eastAsia" w:ascii="仿宋_GB2312" w:hAnsi="宋体" w:eastAsia="仿宋_GB2312" w:cs="宋体"/>
          <w:kern w:val="0"/>
          <w:sz w:val="32"/>
          <w:szCs w:val="32"/>
        </w:rPr>
        <w:instrText xml:space="preserve">，地址：福州市鼓楼区工业路</w:instrText>
      </w:r>
      <w:r>
        <w:rPr>
          <w:rStyle w:val="12"/>
          <w:rFonts w:ascii="仿宋_GB2312" w:hAnsi="宋体" w:eastAsia="仿宋_GB2312" w:cs="宋体"/>
          <w:kern w:val="0"/>
          <w:sz w:val="32"/>
          <w:szCs w:val="32"/>
        </w:rPr>
        <w:instrText xml:space="preserve">611号福建高新技术创业园1号楼9</w:instrText>
      </w:r>
      <w:r>
        <w:rPr>
          <w:rFonts w:hint="eastAsia" w:ascii="仿宋_GB2312" w:hAnsi="宋体" w:eastAsia="仿宋_GB2312" w:cs="宋体"/>
          <w:color w:val="000000"/>
          <w:kern w:val="0"/>
          <w:sz w:val="32"/>
          <w:szCs w:val="32"/>
        </w:rPr>
        <w:instrText xml:space="preserve">层南区905</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Style w:val="14"/>
          <w:rFonts w:hint="eastAsia" w:ascii="仿宋_GB2312" w:hAnsi="宋体" w:eastAsia="仿宋_GB2312" w:cs="宋体"/>
          <w:kern w:val="0"/>
          <w:sz w:val="32"/>
          <w:szCs w:val="32"/>
        </w:rPr>
        <w:t>cy905@fjfhq.com</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省科技厅高新处联系电话：</w:t>
      </w:r>
      <w:r>
        <w:rPr>
          <w:rFonts w:hint="eastAsia" w:ascii="仿宋_GB2312" w:hAnsi="宋体" w:eastAsia="仿宋_GB2312" w:cs="宋体"/>
          <w:color w:val="000000"/>
          <w:kern w:val="0"/>
          <w:sz w:val="32"/>
          <w:szCs w:val="32"/>
          <w:highlight w:val="none"/>
        </w:rPr>
        <w:t>0591-8788152</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ascii="仿宋_GB2312" w:hAnsi="宋体" w:eastAsia="仿宋_GB2312" w:cs="宋体"/>
          <w:color w:val="000000"/>
          <w:kern w:val="0"/>
          <w:sz w:val="32"/>
          <w:szCs w:val="32"/>
        </w:rPr>
      </w:pP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附件：1.高新技术企业综合统计快报表</w:t>
      </w:r>
    </w:p>
    <w:p>
      <w:pPr>
        <w:keepNext w:val="0"/>
        <w:keepLines w:val="0"/>
        <w:pageBreakBefore w:val="0"/>
        <w:widowControl/>
        <w:kinsoku/>
        <w:overflowPunct/>
        <w:topLinePunct w:val="0"/>
        <w:autoSpaceDE/>
        <w:autoSpaceDN/>
        <w:bidi w:val="0"/>
        <w:spacing w:beforeLines="0" w:afterLines="0" w:line="600" w:lineRule="exact"/>
        <w:ind w:firstLine="1600" w:firstLineChars="500"/>
        <w:jc w:val="both"/>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2.国家火炬特色产业基地清单</w:t>
      </w:r>
    </w:p>
    <w:p>
      <w:pPr>
        <w:keepNext w:val="0"/>
        <w:keepLines w:val="0"/>
        <w:pageBreakBefore w:val="0"/>
        <w:widowControl/>
        <w:kinsoku/>
        <w:overflowPunct/>
        <w:topLinePunct w:val="0"/>
        <w:autoSpaceDE/>
        <w:autoSpaceDN/>
        <w:bidi w:val="0"/>
        <w:spacing w:beforeLines="0" w:afterLines="0" w:line="600" w:lineRule="exact"/>
        <w:ind w:firstLine="1600" w:firstLineChars="500"/>
        <w:jc w:val="both"/>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3.创新型产业集群清单</w:t>
      </w: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p>
    <w:p>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p>
    <w:p>
      <w:pPr>
        <w:keepNext w:val="0"/>
        <w:keepLines w:val="0"/>
        <w:pageBreakBefore w:val="0"/>
        <w:widowControl/>
        <w:kinsoku/>
        <w:overflowPunct/>
        <w:topLinePunct w:val="0"/>
        <w:autoSpaceDE/>
        <w:autoSpaceDN/>
        <w:bidi w:val="0"/>
        <w:snapToGrid w:val="0"/>
        <w:spacing w:beforeLines="0" w:afterLines="0" w:line="600" w:lineRule="exact"/>
        <w:ind w:firstLine="640" w:firstLineChars="200"/>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福建省科学技术厅     </w:t>
      </w:r>
    </w:p>
    <w:p>
      <w:pPr>
        <w:keepNext w:val="0"/>
        <w:keepLines w:val="0"/>
        <w:pageBreakBefore w:val="0"/>
        <w:widowControl/>
        <w:kinsoku/>
        <w:overflowPunct/>
        <w:topLinePunct w:val="0"/>
        <w:autoSpaceDE/>
        <w:autoSpaceDN/>
        <w:bidi w:val="0"/>
        <w:snapToGrid w:val="0"/>
        <w:spacing w:beforeLines="0" w:afterLines="0" w:line="600" w:lineRule="exact"/>
        <w:ind w:firstLine="640" w:firstLineChars="200"/>
        <w:jc w:val="center"/>
        <w:textAlignment w:val="auto"/>
        <w:rPr>
          <w:rFonts w:ascii="仿宋_GB2312" w:hAnsi="宋体" w:eastAsia="仿宋_GB2312" w:cs="宋体"/>
          <w:color w:val="000000"/>
          <w:kern w:val="0"/>
          <w:sz w:val="30"/>
          <w:szCs w:val="30"/>
        </w:rPr>
      </w:pPr>
      <w:r>
        <w:rPr>
          <w:rFonts w:hint="eastAsia" w:ascii="仿宋_GB2312" w:hAnsi="宋体" w:eastAsia="仿宋_GB2312" w:cs="宋体"/>
          <w:color w:val="000000"/>
          <w:kern w:val="0"/>
          <w:sz w:val="32"/>
          <w:szCs w:val="32"/>
        </w:rPr>
        <w:t xml:space="preserve">                202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年1月</w:t>
      </w:r>
      <w:r>
        <w:rPr>
          <w:rFonts w:hint="eastAsia" w:ascii="仿宋_GB2312" w:hAnsi="宋体" w:eastAsia="仿宋_GB2312" w:cs="宋体"/>
          <w:color w:val="000000"/>
          <w:kern w:val="0"/>
          <w:sz w:val="32"/>
          <w:szCs w:val="32"/>
          <w:lang w:val="en-US" w:eastAsia="zh-CN"/>
        </w:rPr>
        <w:t>22</w:t>
      </w:r>
      <w:r>
        <w:rPr>
          <w:rFonts w:hint="eastAsia" w:ascii="仿宋_GB2312" w:hAnsi="宋体" w:eastAsia="仿宋_GB2312" w:cs="宋体"/>
          <w:color w:val="000000"/>
          <w:kern w:val="0"/>
          <w:sz w:val="32"/>
          <w:szCs w:val="32"/>
        </w:rPr>
        <w:t>日</w:t>
      </w:r>
    </w:p>
    <w:p>
      <w:pPr>
        <w:keepNext w:val="0"/>
        <w:keepLines w:val="0"/>
        <w:pageBreakBefore w:val="0"/>
        <w:kinsoku/>
        <w:overflowPunct/>
        <w:topLinePunct w:val="0"/>
        <w:autoSpaceDE/>
        <w:autoSpaceDN/>
        <w:bidi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（此件主动公开）</w:t>
      </w:r>
    </w:p>
    <w:p>
      <w:pPr>
        <w:pStyle w:val="3"/>
        <w:keepNext w:val="0"/>
        <w:keepLines w:val="0"/>
        <w:pageBreakBefore w:val="0"/>
        <w:kinsoku/>
        <w:overflowPunct/>
        <w:topLinePunct w:val="0"/>
        <w:autoSpaceDE/>
        <w:autoSpaceDN/>
        <w:bidi w:val="0"/>
        <w:snapToGrid w:val="0"/>
        <w:spacing w:line="600" w:lineRule="exact"/>
        <w:jc w:val="both"/>
        <w:textAlignment w:val="auto"/>
        <w:rPr>
          <w:rFonts w:ascii="仿宋" w:hAnsi="仿宋" w:eastAsia="仿宋" w:cs="仿宋"/>
          <w:b w:val="0"/>
          <w:color w:val="000000"/>
          <w:kern w:val="0"/>
          <w:szCs w:val="32"/>
        </w:rPr>
      </w:pPr>
      <w:r>
        <w:rPr>
          <w:rFonts w:ascii="仿宋_GB2312" w:hAnsi="宋体" w:eastAsia="仿宋_GB2312" w:cs="宋体"/>
          <w:color w:val="000000"/>
          <w:kern w:val="0"/>
          <w:sz w:val="30"/>
          <w:szCs w:val="30"/>
        </w:rPr>
        <w:br w:type="page"/>
      </w:r>
      <w:bookmarkStart w:id="0" w:name="_Toc951"/>
      <w:bookmarkStart w:id="1" w:name="_Toc8568"/>
      <w:bookmarkStart w:id="2" w:name="_Toc2289"/>
      <w:r>
        <w:rPr>
          <w:rFonts w:hint="eastAsia" w:ascii="黑体" w:hAnsi="黑体" w:eastAsia="黑体" w:cs="黑体"/>
          <w:b w:val="0"/>
          <w:color w:val="000000"/>
          <w:kern w:val="0"/>
          <w:szCs w:val="32"/>
        </w:rPr>
        <w:t>附件1</w:t>
      </w:r>
    </w:p>
    <w:p>
      <w:pPr>
        <w:tabs>
          <w:tab w:val="left" w:pos="645"/>
        </w:tabs>
        <w:jc w:val="center"/>
        <w:outlineLvl w:val="1"/>
        <w:rPr>
          <w:rFonts w:ascii="Times New Roman" w:hAnsi="Times New Roman" w:eastAsia="黑体"/>
          <w:bCs/>
          <w:sz w:val="36"/>
          <w:szCs w:val="36"/>
        </w:rPr>
      </w:pPr>
      <w:bookmarkStart w:id="3" w:name="_Hlk122288612"/>
      <w:r>
        <w:rPr>
          <w:rFonts w:ascii="Times New Roman" w:hAnsi="Times New Roman"/>
          <w:bCs/>
          <w:sz w:val="32"/>
          <w:szCs w:val="24"/>
        </w:rPr>
        <w:t>高新技术</w:t>
      </w:r>
      <w:r>
        <w:rPr>
          <w:rFonts w:ascii="Times New Roman" w:hAnsi="Times New Roman"/>
          <w:bCs/>
          <w:sz w:val="32"/>
          <w:szCs w:val="32"/>
        </w:rPr>
        <w:t>企业综合统计快报表</w:t>
      </w:r>
    </w:p>
    <w:tbl>
      <w:tblPr>
        <w:tblStyle w:val="10"/>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2065"/>
        <w:gridCol w:w="1145"/>
        <w:gridCol w:w="1064"/>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vAlign w:val="center"/>
          </w:tcPr>
          <w:p>
            <w:pPr>
              <w:spacing w:line="280" w:lineRule="exact"/>
              <w:jc w:val="center"/>
              <w:rPr>
                <w:rFonts w:ascii="Times New Roman" w:hAnsi="Times New Roman"/>
                <w:bCs/>
                <w:sz w:val="18"/>
                <w:szCs w:val="18"/>
              </w:rPr>
            </w:pPr>
          </w:p>
        </w:tc>
        <w:tc>
          <w:tcPr>
            <w:tcW w:w="1064" w:type="dxa"/>
            <w:tcBorders>
              <w:top w:val="nil"/>
              <w:left w:val="nil"/>
              <w:bottom w:val="nil"/>
              <w:right w:val="nil"/>
            </w:tcBorders>
            <w:vAlign w:val="center"/>
          </w:tcPr>
          <w:p>
            <w:pPr>
              <w:snapToGrid w:val="0"/>
              <w:spacing w:line="240" w:lineRule="exact"/>
              <w:rPr>
                <w:rFonts w:ascii="Times New Roman" w:hAnsi="Times New Roman"/>
                <w:bCs/>
                <w:sz w:val="18"/>
                <w:szCs w:val="18"/>
              </w:rPr>
            </w:pPr>
            <w:r>
              <w:rPr>
                <w:rFonts w:ascii="Times New Roman" w:hAnsi="Times New Roman"/>
                <w:bCs/>
                <w:sz w:val="18"/>
                <w:szCs w:val="18"/>
              </w:rPr>
              <w:t>表号：</w:t>
            </w:r>
          </w:p>
        </w:tc>
        <w:tc>
          <w:tcPr>
            <w:tcW w:w="1937" w:type="dxa"/>
            <w:tcBorders>
              <w:top w:val="nil"/>
              <w:left w:val="nil"/>
              <w:bottom w:val="nil"/>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szCs w:val="18"/>
              </w:rPr>
              <w:t>ＧＱＫＢ－０１</w:t>
            </w:r>
            <w:r>
              <w:rPr>
                <w:rFonts w:ascii="Times New Roman" w:hAnsi="Times New Roman"/>
                <w:bCs/>
                <w:sz w:val="18"/>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vAlign w:val="center"/>
          </w:tcPr>
          <w:p>
            <w:pPr>
              <w:jc w:val="center"/>
              <w:rPr>
                <w:rFonts w:ascii="Times New Roman" w:hAnsi="Times New Roman"/>
                <w:bCs/>
                <w:sz w:val="18"/>
                <w:szCs w:val="18"/>
              </w:rPr>
            </w:pPr>
          </w:p>
        </w:tc>
        <w:tc>
          <w:tcPr>
            <w:tcW w:w="1064" w:type="dxa"/>
            <w:tcBorders>
              <w:top w:val="nil"/>
              <w:left w:val="nil"/>
              <w:bottom w:val="nil"/>
              <w:right w:val="nil"/>
            </w:tcBorders>
            <w:vAlign w:val="center"/>
          </w:tcPr>
          <w:p>
            <w:pPr>
              <w:snapToGrid w:val="0"/>
              <w:spacing w:line="240" w:lineRule="exact"/>
              <w:rPr>
                <w:rFonts w:ascii="Times New Roman" w:hAnsi="Times New Roman"/>
                <w:bCs/>
                <w:sz w:val="18"/>
                <w:szCs w:val="18"/>
              </w:rPr>
            </w:pPr>
            <w:r>
              <w:rPr>
                <w:rFonts w:ascii="Times New Roman" w:hAnsi="Times New Roman"/>
                <w:bCs/>
                <w:sz w:val="18"/>
                <w:szCs w:val="18"/>
              </w:rPr>
              <w:t>制定机关：</w:t>
            </w:r>
          </w:p>
        </w:tc>
        <w:tc>
          <w:tcPr>
            <w:tcW w:w="1937" w:type="dxa"/>
            <w:tcBorders>
              <w:top w:val="nil"/>
              <w:left w:val="nil"/>
              <w:bottom w:val="nil"/>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rPr>
              <w:t>科学技术部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vAlign w:val="center"/>
          </w:tcPr>
          <w:p>
            <w:pPr>
              <w:spacing w:line="280" w:lineRule="exact"/>
              <w:jc w:val="center"/>
              <w:rPr>
                <w:rFonts w:ascii="Times New Roman" w:hAnsi="Times New Roman"/>
                <w:bCs/>
                <w:sz w:val="18"/>
                <w:szCs w:val="18"/>
              </w:rPr>
            </w:pPr>
          </w:p>
        </w:tc>
        <w:tc>
          <w:tcPr>
            <w:tcW w:w="1064" w:type="dxa"/>
            <w:tcBorders>
              <w:top w:val="nil"/>
              <w:left w:val="nil"/>
              <w:bottom w:val="nil"/>
              <w:right w:val="nil"/>
            </w:tcBorders>
            <w:vAlign w:val="center"/>
          </w:tcPr>
          <w:p>
            <w:pPr>
              <w:snapToGrid w:val="0"/>
              <w:spacing w:line="240" w:lineRule="exact"/>
              <w:rPr>
                <w:rFonts w:ascii="Times New Roman" w:hAnsi="Times New Roman"/>
                <w:bCs/>
                <w:sz w:val="18"/>
                <w:szCs w:val="18"/>
              </w:rPr>
            </w:pPr>
            <w:r>
              <w:rPr>
                <w:rFonts w:ascii="Times New Roman" w:hAnsi="Times New Roman"/>
                <w:bCs/>
                <w:sz w:val="18"/>
                <w:szCs w:val="18"/>
              </w:rPr>
              <w:t>批准机关：</w:t>
            </w:r>
          </w:p>
        </w:tc>
        <w:tc>
          <w:tcPr>
            <w:tcW w:w="1937" w:type="dxa"/>
            <w:tcBorders>
              <w:top w:val="nil"/>
              <w:left w:val="nil"/>
              <w:bottom w:val="nil"/>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rPr>
              <w:t>国家统计局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vAlign w:val="center"/>
          </w:tcPr>
          <w:p>
            <w:pPr>
              <w:spacing w:line="280" w:lineRule="exact"/>
              <w:jc w:val="center"/>
              <w:rPr>
                <w:rFonts w:ascii="Times New Roman" w:hAnsi="Times New Roman"/>
                <w:bCs/>
                <w:sz w:val="18"/>
                <w:szCs w:val="18"/>
              </w:rPr>
            </w:pPr>
          </w:p>
        </w:tc>
        <w:tc>
          <w:tcPr>
            <w:tcW w:w="1064" w:type="dxa"/>
            <w:tcBorders>
              <w:top w:val="nil"/>
              <w:left w:val="nil"/>
              <w:bottom w:val="nil"/>
              <w:right w:val="nil"/>
            </w:tcBorders>
            <w:vAlign w:val="center"/>
          </w:tcPr>
          <w:p>
            <w:pPr>
              <w:pStyle w:val="23"/>
              <w:tabs>
                <w:tab w:val="left" w:pos="730"/>
              </w:tabs>
              <w:autoSpaceDE/>
              <w:autoSpaceDN/>
              <w:adjustRightInd/>
              <w:spacing w:before="14" w:line="240" w:lineRule="exact"/>
              <w:jc w:val="both"/>
              <w:rPr>
                <w:rFonts w:ascii="Times New Roman" w:hAnsi="Times New Roman"/>
                <w:bCs/>
                <w:sz w:val="18"/>
                <w:szCs w:val="18"/>
              </w:rPr>
            </w:pPr>
            <w:r>
              <w:rPr>
                <w:rFonts w:ascii="Times New Roman" w:hAnsi="Times New Roman"/>
                <w:bCs/>
                <w:sz w:val="18"/>
                <w:szCs w:val="18"/>
              </w:rPr>
              <w:t>批准文号：</w:t>
            </w:r>
          </w:p>
        </w:tc>
        <w:tc>
          <w:tcPr>
            <w:tcW w:w="1937" w:type="dxa"/>
            <w:tcBorders>
              <w:top w:val="nil"/>
              <w:left w:val="nil"/>
              <w:bottom w:val="nil"/>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rPr>
              <w:t>国统制〔2022〕11号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182" w:type="dxa"/>
            <w:tcBorders>
              <w:top w:val="nil"/>
              <w:left w:val="nil"/>
              <w:bottom w:val="single" w:color="auto" w:sz="4" w:space="0"/>
              <w:right w:val="nil"/>
            </w:tcBorders>
            <w:vAlign w:val="center"/>
          </w:tcPr>
          <w:p>
            <w:pPr>
              <w:jc w:val="left"/>
              <w:rPr>
                <w:rFonts w:ascii="Times New Roman" w:hAnsi="Times New Roman"/>
                <w:bCs/>
                <w:sz w:val="18"/>
                <w:szCs w:val="18"/>
              </w:rPr>
            </w:pPr>
            <w:r>
              <w:rPr>
                <w:rFonts w:ascii="Times New Roman" w:hAnsi="Times New Roman"/>
                <w:bCs/>
                <w:sz w:val="18"/>
                <w:szCs w:val="20"/>
              </w:rPr>
              <w:t>综合机关名称：</w:t>
            </w:r>
          </w:p>
        </w:tc>
        <w:tc>
          <w:tcPr>
            <w:tcW w:w="3210" w:type="dxa"/>
            <w:gridSpan w:val="2"/>
            <w:tcBorders>
              <w:top w:val="nil"/>
              <w:left w:val="nil"/>
              <w:bottom w:val="single" w:color="auto" w:sz="4" w:space="0"/>
              <w:right w:val="nil"/>
            </w:tcBorders>
            <w:vAlign w:val="center"/>
          </w:tcPr>
          <w:p>
            <w:pPr>
              <w:spacing w:line="280" w:lineRule="exact"/>
              <w:jc w:val="center"/>
              <w:rPr>
                <w:rFonts w:ascii="Times New Roman" w:hAnsi="Times New Roman"/>
                <w:bCs/>
                <w:sz w:val="18"/>
                <w:szCs w:val="18"/>
              </w:rPr>
            </w:pPr>
            <w:r>
              <w:rPr>
                <w:rFonts w:ascii="Times New Roman" w:hAnsi="Times New Roman"/>
                <w:bCs/>
                <w:sz w:val="18"/>
                <w:szCs w:val="20"/>
              </w:rPr>
              <w:t>２０</w:t>
            </w:r>
            <w:r>
              <w:rPr>
                <w:rFonts w:hint="eastAsia" w:ascii="Times New Roman" w:hAnsi="Times New Roman"/>
                <w:bCs/>
                <w:sz w:val="18"/>
                <w:szCs w:val="20"/>
                <w:u w:val="single"/>
              </w:rPr>
              <w:t xml:space="preserve"> </w:t>
            </w:r>
            <w:r>
              <w:rPr>
                <w:rFonts w:ascii="Times New Roman" w:hAnsi="Times New Roman"/>
                <w:bCs/>
                <w:sz w:val="18"/>
                <w:szCs w:val="20"/>
                <w:u w:val="single"/>
              </w:rPr>
              <w:t xml:space="preserve">   </w:t>
            </w:r>
            <w:r>
              <w:rPr>
                <w:rFonts w:ascii="Times New Roman" w:hAnsi="Times New Roman"/>
                <w:bCs/>
                <w:sz w:val="18"/>
                <w:szCs w:val="20"/>
              </w:rPr>
              <w:t>年</w:t>
            </w:r>
          </w:p>
        </w:tc>
        <w:tc>
          <w:tcPr>
            <w:tcW w:w="1064" w:type="dxa"/>
            <w:tcBorders>
              <w:top w:val="nil"/>
              <w:left w:val="nil"/>
              <w:bottom w:val="single" w:color="auto" w:sz="4" w:space="0"/>
              <w:right w:val="nil"/>
            </w:tcBorders>
            <w:vAlign w:val="center"/>
          </w:tcPr>
          <w:p>
            <w:pPr>
              <w:snapToGrid w:val="0"/>
              <w:spacing w:line="240" w:lineRule="exact"/>
              <w:rPr>
                <w:rFonts w:ascii="Times New Roman" w:hAnsi="Times New Roman"/>
                <w:bCs/>
                <w:sz w:val="18"/>
                <w:szCs w:val="18"/>
              </w:rPr>
            </w:pPr>
            <w:r>
              <w:rPr>
                <w:rFonts w:ascii="Times New Roman" w:hAnsi="Times New Roman"/>
                <w:bCs/>
                <w:sz w:val="18"/>
                <w:szCs w:val="18"/>
              </w:rPr>
              <w:t>有效期至：</w:t>
            </w:r>
          </w:p>
        </w:tc>
        <w:tc>
          <w:tcPr>
            <w:tcW w:w="1937" w:type="dxa"/>
            <w:tcBorders>
              <w:top w:val="nil"/>
              <w:left w:val="nil"/>
              <w:bottom w:val="single" w:color="auto" w:sz="4" w:space="0"/>
              <w:right w:val="nil"/>
            </w:tcBorders>
            <w:vAlign w:val="center"/>
          </w:tcPr>
          <w:p>
            <w:pPr>
              <w:spacing w:line="240" w:lineRule="exact"/>
              <w:jc w:val="right"/>
              <w:rPr>
                <w:rFonts w:ascii="Times New Roman" w:hAnsi="Times New Roman"/>
                <w:bCs/>
                <w:sz w:val="18"/>
                <w:szCs w:val="18"/>
              </w:rPr>
            </w:pPr>
            <w:r>
              <w:rPr>
                <w:rFonts w:ascii="Times New Roman" w:hAnsi="Times New Roman"/>
                <w:bCs/>
                <w:sz w:val="18"/>
                <w:szCs w:val="18"/>
              </w:rPr>
              <w:t>２０２５</w:t>
            </w:r>
            <w:r>
              <w:rPr>
                <w:rFonts w:ascii="Times New Roman" w:hAnsi="Times New Roman"/>
                <w:bCs/>
                <w:sz w:val="18"/>
              </w:rPr>
              <w:t>年１月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指标名称</w:t>
            </w:r>
          </w:p>
        </w:tc>
        <w:tc>
          <w:tcPr>
            <w:tcW w:w="1145" w:type="dxa"/>
            <w:tcBorders>
              <w:top w:val="single" w:color="auto" w:sz="4" w:space="0"/>
              <w:left w:val="nil"/>
              <w:bottom w:val="single" w:color="auto" w:sz="4" w:space="0"/>
              <w:right w:val="nil"/>
            </w:tcBorders>
            <w:vAlign w:val="center"/>
          </w:tcPr>
          <w:p>
            <w:pPr>
              <w:spacing w:line="240" w:lineRule="exact"/>
              <w:jc w:val="center"/>
              <w:rPr>
                <w:rFonts w:ascii="Times New Roman" w:hAnsi="Times New Roman"/>
                <w:bCs/>
                <w:szCs w:val="21"/>
              </w:rPr>
            </w:pPr>
            <w:r>
              <w:rPr>
                <w:rFonts w:ascii="Times New Roman" w:hAnsi="Times New Roman"/>
                <w:bCs/>
                <w:sz w:val="18"/>
                <w:szCs w:val="18"/>
              </w:rPr>
              <w:t>计量单位</w:t>
            </w:r>
          </w:p>
        </w:tc>
        <w:tc>
          <w:tcPr>
            <w:tcW w:w="1064"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代码</w:t>
            </w:r>
          </w:p>
        </w:tc>
        <w:tc>
          <w:tcPr>
            <w:tcW w:w="1937"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甲</w:t>
            </w:r>
          </w:p>
        </w:tc>
        <w:tc>
          <w:tcPr>
            <w:tcW w:w="1145" w:type="dxa"/>
            <w:tcBorders>
              <w:top w:val="single" w:color="auto" w:sz="4" w:space="0"/>
              <w:left w:val="nil"/>
              <w:bottom w:val="single" w:color="auto" w:sz="4" w:space="0"/>
              <w:right w:val="nil"/>
            </w:tcBorders>
            <w:vAlign w:val="center"/>
          </w:tcPr>
          <w:p>
            <w:pPr>
              <w:spacing w:line="240" w:lineRule="exact"/>
              <w:jc w:val="center"/>
              <w:rPr>
                <w:rFonts w:ascii="Times New Roman" w:hAnsi="Times New Roman"/>
                <w:bCs/>
                <w:sz w:val="18"/>
                <w:szCs w:val="18"/>
              </w:rPr>
            </w:pPr>
            <w:r>
              <w:rPr>
                <w:rFonts w:ascii="Times New Roman" w:hAnsi="Times New Roman"/>
                <w:bCs/>
                <w:sz w:val="18"/>
                <w:szCs w:val="18"/>
              </w:rPr>
              <w:t>乙</w:t>
            </w:r>
          </w:p>
        </w:tc>
        <w:tc>
          <w:tcPr>
            <w:tcW w:w="1064"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丙</w:t>
            </w:r>
          </w:p>
        </w:tc>
        <w:tc>
          <w:tcPr>
            <w:tcW w:w="1937" w:type="dxa"/>
            <w:tcBorders>
              <w:top w:val="single" w:color="auto" w:sz="4" w:space="0"/>
              <w:left w:val="single" w:color="auto" w:sz="4" w:space="0"/>
              <w:bottom w:val="single" w:color="auto" w:sz="4" w:space="0"/>
              <w:right w:val="nil"/>
            </w:tcBorders>
            <w:vAlign w:val="center"/>
          </w:tcPr>
          <w:p>
            <w:pPr>
              <w:spacing w:line="300" w:lineRule="exact"/>
              <w:jc w:val="center"/>
              <w:rPr>
                <w:rFonts w:ascii="Times New Roman" w:hAnsi="Times New Roman"/>
                <w:bCs/>
                <w:sz w:val="18"/>
                <w:szCs w:val="18"/>
              </w:rPr>
            </w:pPr>
            <w:r>
              <w:rPr>
                <w:rFonts w:ascii="Times New Roman" w:hAnsi="Times New Roman"/>
                <w:bCs/>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一、统计的高新技术企业数量（K1A1_0&gt;K1A2）</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sz w:val="18"/>
                <w:szCs w:val="18"/>
              </w:rPr>
              <w:t>家</w:t>
            </w:r>
          </w:p>
        </w:tc>
        <w:tc>
          <w:tcPr>
            <w:tcW w:w="1064" w:type="dxa"/>
            <w:tcBorders>
              <w:top w:val="single" w:color="auto" w:sz="4" w:space="0"/>
              <w:left w:val="single" w:color="auto" w:sz="4" w:space="0"/>
              <w:bottom w:val="single" w:color="auto" w:sz="4" w:space="0"/>
              <w:right w:val="nil"/>
            </w:tcBorders>
            <w:vAlign w:val="center"/>
          </w:tcPr>
          <w:p>
            <w:pPr>
              <w:spacing w:line="280" w:lineRule="exact"/>
              <w:jc w:val="center"/>
              <w:rPr>
                <w:rFonts w:cstheme="minorHAnsi"/>
                <w:bCs/>
                <w:sz w:val="18"/>
                <w:szCs w:val="18"/>
              </w:rPr>
            </w:pPr>
            <w:r>
              <w:rPr>
                <w:rFonts w:cstheme="minorHAnsi"/>
                <w:bCs/>
                <w:sz w:val="18"/>
                <w:szCs w:val="18"/>
              </w:rPr>
              <w:t>K1A1_0</w:t>
            </w:r>
          </w:p>
        </w:tc>
        <w:tc>
          <w:tcPr>
            <w:tcW w:w="1937" w:type="dxa"/>
            <w:tcBorders>
              <w:top w:val="single" w:color="auto" w:sz="4" w:space="0"/>
              <w:left w:val="single" w:color="auto" w:sz="4" w:space="0"/>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ind w:firstLine="360" w:firstLineChars="200"/>
              <w:rPr>
                <w:rFonts w:cstheme="minorHAnsi"/>
                <w:bCs/>
                <w:sz w:val="18"/>
                <w:szCs w:val="18"/>
              </w:rPr>
            </w:pPr>
            <w:r>
              <w:rPr>
                <w:rFonts w:cstheme="minorHAnsi"/>
                <w:bCs/>
                <w:sz w:val="18"/>
                <w:szCs w:val="18"/>
              </w:rPr>
              <w:t>其中：收入上亿企业</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sz w:val="18"/>
                <w:szCs w:val="18"/>
              </w:rPr>
              <w:t>家</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sz w:val="18"/>
                <w:szCs w:val="18"/>
              </w:rPr>
              <w:t>K1A2</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kern w:val="0"/>
                <w:sz w:val="18"/>
                <w:szCs w:val="18"/>
              </w:rPr>
              <w:t>二、统计高企年末从业人员</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sz w:val="18"/>
                <w:szCs w:val="18"/>
              </w:rPr>
              <w:t>人</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kern w:val="0"/>
                <w:sz w:val="18"/>
                <w:szCs w:val="18"/>
              </w:rPr>
              <w:t>K1B</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三、营业收入（K1C1&gt;=K1C2）</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kern w:val="0"/>
                <w:sz w:val="18"/>
                <w:szCs w:val="18"/>
              </w:rPr>
              <w:t>K1C1</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四、出口总额</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sz w:val="18"/>
                <w:szCs w:val="18"/>
              </w:rPr>
              <w:t>K1C2</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五、工业总产值</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kern w:val="0"/>
                <w:sz w:val="18"/>
                <w:szCs w:val="18"/>
              </w:rPr>
              <w:t>K1D</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六、利润总额</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kern w:val="0"/>
                <w:sz w:val="18"/>
                <w:szCs w:val="18"/>
              </w:rPr>
            </w:pPr>
            <w:r>
              <w:rPr>
                <w:rFonts w:cstheme="minorHAnsi"/>
                <w:bCs/>
                <w:kern w:val="0"/>
                <w:sz w:val="18"/>
                <w:szCs w:val="18"/>
              </w:rPr>
              <w:t>K2E</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spacing w:line="280" w:lineRule="exact"/>
              <w:rPr>
                <w:rFonts w:cstheme="minorHAnsi"/>
                <w:bCs/>
                <w:sz w:val="18"/>
                <w:szCs w:val="18"/>
              </w:rPr>
            </w:pPr>
            <w:r>
              <w:rPr>
                <w:rFonts w:cstheme="minorHAnsi"/>
                <w:bCs/>
                <w:sz w:val="18"/>
                <w:szCs w:val="18"/>
              </w:rPr>
              <w:t>七、净利润</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sz w:val="18"/>
                <w:szCs w:val="18"/>
              </w:rPr>
            </w:pPr>
            <w:r>
              <w:rPr>
                <w:rFonts w:cstheme="minorHAnsi"/>
                <w:bCs/>
                <w:kern w:val="0"/>
                <w:sz w:val="18"/>
                <w:szCs w:val="18"/>
              </w:rPr>
              <w:t>K1E</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widowControl/>
              <w:spacing w:line="280" w:lineRule="exact"/>
              <w:rPr>
                <w:rFonts w:cstheme="minorHAnsi"/>
                <w:bCs/>
                <w:kern w:val="0"/>
                <w:sz w:val="18"/>
                <w:szCs w:val="18"/>
              </w:rPr>
            </w:pPr>
            <w:r>
              <w:rPr>
                <w:rFonts w:cstheme="minorHAnsi"/>
                <w:bCs/>
                <w:kern w:val="0"/>
                <w:sz w:val="18"/>
                <w:szCs w:val="18"/>
              </w:rPr>
              <w:t>八、实际上缴税费总额</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kern w:val="0"/>
                <w:sz w:val="18"/>
                <w:szCs w:val="18"/>
              </w:rPr>
            </w:pPr>
            <w:r>
              <w:rPr>
                <w:rFonts w:cstheme="minorHAnsi"/>
                <w:bCs/>
                <w:kern w:val="0"/>
                <w:sz w:val="18"/>
                <w:szCs w:val="18"/>
              </w:rPr>
              <w:t>K1F</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4" w:space="0"/>
              <w:right w:val="single" w:color="auto" w:sz="4" w:space="0"/>
            </w:tcBorders>
            <w:vAlign w:val="center"/>
          </w:tcPr>
          <w:p>
            <w:pPr>
              <w:widowControl/>
              <w:spacing w:line="280" w:lineRule="exact"/>
              <w:rPr>
                <w:rFonts w:cstheme="minorHAnsi"/>
                <w:bCs/>
                <w:kern w:val="0"/>
                <w:sz w:val="18"/>
                <w:szCs w:val="18"/>
              </w:rPr>
            </w:pPr>
            <w:r>
              <w:rPr>
                <w:rFonts w:cstheme="minorHAnsi"/>
                <w:bCs/>
                <w:kern w:val="0"/>
                <w:sz w:val="18"/>
                <w:szCs w:val="18"/>
              </w:rPr>
              <w:t>九、实际减免税额（</w:t>
            </w:r>
            <w:r>
              <w:rPr>
                <w:rFonts w:cstheme="minorHAnsi"/>
                <w:bCs/>
                <w:sz w:val="18"/>
                <w:szCs w:val="18"/>
              </w:rPr>
              <w:t>K1G&gt;KH</w:t>
            </w:r>
            <w:r>
              <w:rPr>
                <w:rFonts w:hint="eastAsia" w:cstheme="minorHAnsi"/>
                <w:bCs/>
                <w:sz w:val="18"/>
                <w:szCs w:val="18"/>
                <w:lang w:val="en-US" w:eastAsia="zh-CN"/>
              </w:rPr>
              <w:t>+KJ</w:t>
            </w:r>
            <w:r>
              <w:rPr>
                <w:rFonts w:cstheme="minorHAnsi"/>
                <w:bCs/>
                <w:sz w:val="18"/>
                <w:szCs w:val="18"/>
              </w:rPr>
              <w:t>）</w:t>
            </w:r>
          </w:p>
        </w:tc>
        <w:tc>
          <w:tcPr>
            <w:tcW w:w="1145" w:type="dxa"/>
            <w:tcBorders>
              <w:top w:val="single" w:color="auto" w:sz="4" w:space="0"/>
              <w:left w:val="nil"/>
              <w:bottom w:val="single" w:color="auto" w:sz="4" w:space="0"/>
              <w:right w:val="nil"/>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theme="minorHAnsi"/>
                <w:bCs/>
                <w:kern w:val="0"/>
                <w:sz w:val="18"/>
                <w:szCs w:val="18"/>
              </w:rPr>
            </w:pPr>
            <w:r>
              <w:rPr>
                <w:rFonts w:cstheme="minorHAnsi"/>
                <w:bCs/>
                <w:kern w:val="0"/>
                <w:sz w:val="18"/>
                <w:szCs w:val="18"/>
              </w:rPr>
              <w:t>K1G</w:t>
            </w:r>
          </w:p>
        </w:tc>
        <w:tc>
          <w:tcPr>
            <w:tcW w:w="1937" w:type="dxa"/>
            <w:tcBorders>
              <w:top w:val="single" w:color="auto" w:sz="4" w:space="0"/>
              <w:left w:val="nil"/>
              <w:bottom w:val="single" w:color="auto" w:sz="4"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2" w:space="0"/>
              <w:right w:val="single" w:color="auto" w:sz="2" w:space="0"/>
            </w:tcBorders>
            <w:vAlign w:val="center"/>
          </w:tcPr>
          <w:p>
            <w:pPr>
              <w:widowControl/>
              <w:spacing w:line="280" w:lineRule="exact"/>
              <w:ind w:firstLine="360" w:firstLineChars="200"/>
              <w:rPr>
                <w:rFonts w:cstheme="minorHAnsi"/>
                <w:bCs/>
                <w:kern w:val="0"/>
                <w:sz w:val="18"/>
                <w:szCs w:val="18"/>
              </w:rPr>
            </w:pPr>
            <w:r>
              <w:rPr>
                <w:rFonts w:cstheme="minorHAnsi"/>
                <w:bCs/>
                <w:kern w:val="0"/>
                <w:sz w:val="18"/>
                <w:szCs w:val="18"/>
              </w:rPr>
              <w:t>其中：享受高新技术企业政策减免所得税</w:t>
            </w:r>
          </w:p>
        </w:tc>
        <w:tc>
          <w:tcPr>
            <w:tcW w:w="1145"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cstheme="minorHAnsi"/>
                <w:bCs/>
                <w:kern w:val="0"/>
                <w:sz w:val="18"/>
                <w:szCs w:val="18"/>
              </w:rPr>
            </w:pPr>
            <w:r>
              <w:rPr>
                <w:rFonts w:cstheme="minorHAnsi"/>
                <w:bCs/>
                <w:kern w:val="0"/>
                <w:sz w:val="18"/>
                <w:szCs w:val="18"/>
              </w:rPr>
              <w:t>KH</w:t>
            </w:r>
          </w:p>
        </w:tc>
        <w:tc>
          <w:tcPr>
            <w:tcW w:w="1937" w:type="dxa"/>
            <w:tcBorders>
              <w:top w:val="single" w:color="auto" w:sz="4" w:space="0"/>
              <w:left w:val="single" w:color="auto" w:sz="2" w:space="0"/>
              <w:bottom w:val="single" w:color="auto" w:sz="2"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47" w:type="dxa"/>
            <w:gridSpan w:val="2"/>
            <w:tcBorders>
              <w:top w:val="single" w:color="auto" w:sz="4" w:space="0"/>
              <w:left w:val="nil"/>
              <w:bottom w:val="single" w:color="auto" w:sz="2" w:space="0"/>
              <w:right w:val="single" w:color="auto" w:sz="2" w:space="0"/>
            </w:tcBorders>
            <w:vAlign w:val="center"/>
          </w:tcPr>
          <w:p>
            <w:pPr>
              <w:widowControl/>
              <w:spacing w:line="280" w:lineRule="exact"/>
              <w:ind w:firstLine="900" w:firstLineChars="500"/>
              <w:rPr>
                <w:rFonts w:cstheme="minorHAnsi"/>
                <w:bCs/>
                <w:kern w:val="0"/>
                <w:sz w:val="18"/>
                <w:szCs w:val="18"/>
              </w:rPr>
            </w:pPr>
            <w:r>
              <w:rPr>
                <w:rFonts w:hint="eastAsia" w:cstheme="minorHAnsi"/>
                <w:bCs/>
                <w:kern w:val="0"/>
                <w:sz w:val="18"/>
                <w:szCs w:val="18"/>
              </w:rPr>
              <w:t>享受先进制造业企业增值税加计抵减额</w:t>
            </w:r>
          </w:p>
        </w:tc>
        <w:tc>
          <w:tcPr>
            <w:tcW w:w="1145"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cstheme="minorHAnsi"/>
                <w:bCs/>
                <w:kern w:val="0"/>
                <w:sz w:val="18"/>
                <w:szCs w:val="18"/>
              </w:rPr>
            </w:pPr>
            <w:r>
              <w:rPr>
                <w:rFonts w:cstheme="minorHAnsi"/>
                <w:bCs/>
                <w:kern w:val="0"/>
                <w:sz w:val="18"/>
                <w:szCs w:val="18"/>
              </w:rPr>
              <w:t>千元</w:t>
            </w:r>
          </w:p>
        </w:tc>
        <w:tc>
          <w:tcPr>
            <w:tcW w:w="1064" w:type="dxa"/>
            <w:tcBorders>
              <w:top w:val="single" w:color="auto" w:sz="4" w:space="0"/>
              <w:left w:val="single" w:color="auto" w:sz="2" w:space="0"/>
              <w:bottom w:val="single" w:color="auto" w:sz="2" w:space="0"/>
              <w:right w:val="single" w:color="auto" w:sz="2" w:space="0"/>
            </w:tcBorders>
            <w:vAlign w:val="center"/>
          </w:tcPr>
          <w:p>
            <w:pPr>
              <w:spacing w:line="280" w:lineRule="exact"/>
              <w:jc w:val="center"/>
              <w:rPr>
                <w:rFonts w:hint="default" w:eastAsia="宋体" w:cstheme="minorHAnsi"/>
                <w:bCs/>
                <w:kern w:val="0"/>
                <w:sz w:val="18"/>
                <w:szCs w:val="18"/>
                <w:lang w:val="en-US" w:eastAsia="zh-CN"/>
              </w:rPr>
            </w:pPr>
            <w:r>
              <w:rPr>
                <w:rFonts w:hint="eastAsia" w:cstheme="minorHAnsi"/>
                <w:bCs/>
                <w:kern w:val="0"/>
                <w:sz w:val="18"/>
                <w:szCs w:val="18"/>
                <w:lang w:val="en-US" w:eastAsia="zh-CN"/>
              </w:rPr>
              <w:t>KJ</w:t>
            </w:r>
          </w:p>
        </w:tc>
        <w:tc>
          <w:tcPr>
            <w:tcW w:w="1937" w:type="dxa"/>
            <w:tcBorders>
              <w:top w:val="single" w:color="auto" w:sz="4" w:space="0"/>
              <w:left w:val="single" w:color="auto" w:sz="2" w:space="0"/>
              <w:bottom w:val="single" w:color="auto" w:sz="2" w:space="0"/>
              <w:right w:val="nil"/>
            </w:tcBorders>
            <w:vAlign w:val="center"/>
          </w:tcPr>
          <w:p>
            <w:pPr>
              <w:spacing w:line="280" w:lineRule="exact"/>
              <w:jc w:val="center"/>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93" w:type="dxa"/>
            <w:gridSpan w:val="5"/>
            <w:tcBorders>
              <w:top w:val="single" w:color="auto" w:sz="2" w:space="0"/>
              <w:left w:val="nil"/>
              <w:bottom w:val="single" w:color="auto" w:sz="8" w:space="0"/>
              <w:right w:val="nil"/>
            </w:tcBorders>
            <w:vAlign w:val="center"/>
          </w:tcPr>
          <w:p>
            <w:pPr>
              <w:snapToGrid w:val="0"/>
              <w:spacing w:line="280" w:lineRule="exact"/>
              <w:jc w:val="left"/>
              <w:rPr>
                <w:rFonts w:ascii="Times New Roman" w:hAnsi="Times New Roman"/>
                <w:bCs/>
                <w:sz w:val="18"/>
                <w:szCs w:val="24"/>
              </w:rPr>
            </w:pPr>
            <w:r>
              <w:rPr>
                <w:rFonts w:ascii="Times New Roman" w:hAnsi="Times New Roman"/>
                <w:bCs/>
                <w:sz w:val="18"/>
                <w:szCs w:val="24"/>
              </w:rPr>
              <w:t>补充资料：</w:t>
            </w:r>
          </w:p>
          <w:p>
            <w:pPr>
              <w:snapToGrid w:val="0"/>
              <w:spacing w:line="280" w:lineRule="exact"/>
              <w:jc w:val="left"/>
              <w:rPr>
                <w:rFonts w:ascii="Times New Roman" w:hAnsi="Times New Roman"/>
                <w:bCs/>
                <w:sz w:val="18"/>
                <w:szCs w:val="24"/>
              </w:rPr>
            </w:pPr>
            <w:r>
              <w:rPr>
                <w:rFonts w:ascii="Times New Roman" w:hAnsi="Times New Roman"/>
                <w:bCs/>
                <w:sz w:val="18"/>
                <w:szCs w:val="24"/>
              </w:rPr>
              <w:t>综合填报单位地址：</w:t>
            </w:r>
            <w:r>
              <w:rPr>
                <w:rFonts w:hint="eastAsia" w:ascii="Times New Roman" w:hAnsi="Times New Roman"/>
                <w:bCs/>
                <w:sz w:val="18"/>
                <w:szCs w:val="24"/>
              </w:rPr>
              <w:t xml:space="preserve"> </w:t>
            </w:r>
            <w:r>
              <w:rPr>
                <w:rFonts w:ascii="Times New Roman" w:hAnsi="Times New Roman"/>
                <w:bCs/>
                <w:sz w:val="18"/>
                <w:szCs w:val="24"/>
              </w:rPr>
              <w:t xml:space="preserve">                                       邮编：</w:t>
            </w:r>
            <w:r>
              <w:rPr>
                <w:rFonts w:asciiTheme="minorEastAsia" w:hAnsiTheme="minorEastAsia" w:eastAsiaTheme="minorEastAsia"/>
                <w:bCs/>
                <w:sz w:val="18"/>
                <w:szCs w:val="24"/>
              </w:rPr>
              <w:t>□□□□□□</w:t>
            </w:r>
          </w:p>
          <w:p>
            <w:pPr>
              <w:snapToGrid w:val="0"/>
              <w:spacing w:line="280" w:lineRule="exact"/>
              <w:jc w:val="left"/>
              <w:rPr>
                <w:rFonts w:ascii="Times New Roman" w:hAnsi="Times New Roman"/>
                <w:bCs/>
                <w:sz w:val="18"/>
                <w:szCs w:val="24"/>
              </w:rPr>
            </w:pPr>
            <w:r>
              <w:rPr>
                <w:rFonts w:ascii="Times New Roman" w:hAnsi="Times New Roman"/>
                <w:bCs/>
                <w:sz w:val="18"/>
                <w:szCs w:val="24"/>
              </w:rPr>
              <w:t>联系电话：</w:t>
            </w:r>
            <w:r>
              <w:rPr>
                <w:rFonts w:hint="eastAsia" w:ascii="Times New Roman" w:hAnsi="Times New Roman"/>
                <w:bCs/>
                <w:sz w:val="18"/>
                <w:szCs w:val="24"/>
              </w:rPr>
              <w:t xml:space="preserve"> </w:t>
            </w:r>
            <w:r>
              <w:rPr>
                <w:rFonts w:ascii="Times New Roman" w:hAnsi="Times New Roman"/>
                <w:bCs/>
                <w:sz w:val="18"/>
                <w:szCs w:val="24"/>
              </w:rPr>
              <w:t xml:space="preserve">                                               传真：</w:t>
            </w:r>
          </w:p>
        </w:tc>
      </w:tr>
    </w:tbl>
    <w:p>
      <w:pPr>
        <w:snapToGrid w:val="0"/>
        <w:spacing w:line="280" w:lineRule="exact"/>
        <w:jc w:val="left"/>
        <w:rPr>
          <w:rFonts w:ascii="Times New Roman" w:hAnsi="Times New Roman"/>
          <w:bCs/>
          <w:sz w:val="18"/>
          <w:szCs w:val="20"/>
        </w:rPr>
      </w:pPr>
      <w:r>
        <w:rPr>
          <w:rFonts w:ascii="Times New Roman" w:hAnsi="Times New Roman"/>
          <w:bCs/>
          <w:sz w:val="18"/>
          <w:szCs w:val="20"/>
        </w:rPr>
        <w:t>单位负责人：</w:t>
      </w:r>
      <w:r>
        <w:rPr>
          <w:rFonts w:hint="eastAsia" w:ascii="Times New Roman" w:hAnsi="Times New Roman"/>
          <w:bCs/>
          <w:sz w:val="18"/>
          <w:szCs w:val="20"/>
          <w:u w:val="single"/>
        </w:rPr>
        <w:t xml:space="preserve"> </w:t>
      </w:r>
      <w:r>
        <w:rPr>
          <w:rFonts w:ascii="Times New Roman" w:hAnsi="Times New Roman"/>
          <w:bCs/>
          <w:sz w:val="18"/>
          <w:szCs w:val="20"/>
          <w:u w:val="single"/>
        </w:rPr>
        <w:t xml:space="preserve">                   </w:t>
      </w:r>
      <w:r>
        <w:rPr>
          <w:rFonts w:ascii="Times New Roman" w:hAnsi="Times New Roman"/>
          <w:bCs/>
          <w:sz w:val="18"/>
          <w:szCs w:val="20"/>
        </w:rPr>
        <w:t xml:space="preserve">    填表人:</w:t>
      </w:r>
      <w:r>
        <w:rPr>
          <w:rFonts w:ascii="Times New Roman" w:hAnsi="Times New Roman"/>
          <w:bCs/>
          <w:sz w:val="18"/>
          <w:szCs w:val="20"/>
          <w:u w:val="single"/>
        </w:rPr>
        <w:t xml:space="preserve">                      </w:t>
      </w:r>
      <w:r>
        <w:rPr>
          <w:rFonts w:ascii="Times New Roman" w:hAnsi="Times New Roman"/>
          <w:bCs/>
          <w:sz w:val="18"/>
          <w:szCs w:val="20"/>
        </w:rPr>
        <w:t xml:space="preserve">     报出日期:20</w:t>
      </w:r>
      <w:r>
        <w:rPr>
          <w:rFonts w:ascii="Times New Roman" w:hAnsi="Times New Roman"/>
          <w:bCs/>
          <w:sz w:val="18"/>
          <w:szCs w:val="20"/>
          <w:u w:val="single"/>
        </w:rPr>
        <w:t xml:space="preserve">  </w:t>
      </w:r>
      <w:r>
        <w:rPr>
          <w:rFonts w:ascii="Times New Roman" w:hAnsi="Times New Roman"/>
          <w:bCs/>
          <w:sz w:val="18"/>
          <w:szCs w:val="20"/>
        </w:rPr>
        <w:t>年</w:t>
      </w:r>
      <w:r>
        <w:rPr>
          <w:rFonts w:hint="eastAsia" w:ascii="Times New Roman" w:hAnsi="Times New Roman"/>
          <w:bCs/>
          <w:sz w:val="18"/>
          <w:szCs w:val="20"/>
          <w:u w:val="single"/>
        </w:rPr>
        <w:t xml:space="preserve"> </w:t>
      </w:r>
      <w:r>
        <w:rPr>
          <w:rFonts w:ascii="Times New Roman" w:hAnsi="Times New Roman"/>
          <w:bCs/>
          <w:sz w:val="18"/>
          <w:szCs w:val="20"/>
          <w:u w:val="single"/>
        </w:rPr>
        <w:t xml:space="preserve"> </w:t>
      </w:r>
      <w:r>
        <w:rPr>
          <w:rFonts w:ascii="Times New Roman" w:hAnsi="Times New Roman"/>
          <w:bCs/>
          <w:sz w:val="18"/>
          <w:szCs w:val="20"/>
        </w:rPr>
        <w:t>月</w:t>
      </w:r>
      <w:r>
        <w:rPr>
          <w:rFonts w:hint="eastAsia" w:ascii="Times New Roman" w:hAnsi="Times New Roman"/>
          <w:bCs/>
          <w:sz w:val="18"/>
          <w:szCs w:val="20"/>
          <w:u w:val="single"/>
        </w:rPr>
        <w:t xml:space="preserve"> </w:t>
      </w:r>
      <w:r>
        <w:rPr>
          <w:rFonts w:ascii="Times New Roman" w:hAnsi="Times New Roman"/>
          <w:bCs/>
          <w:sz w:val="18"/>
          <w:szCs w:val="20"/>
          <w:u w:val="single"/>
        </w:rPr>
        <w:t xml:space="preserve"> </w:t>
      </w:r>
      <w:r>
        <w:rPr>
          <w:rFonts w:ascii="Times New Roman" w:hAnsi="Times New Roman"/>
          <w:bCs/>
          <w:sz w:val="18"/>
          <w:szCs w:val="20"/>
        </w:rPr>
        <w:t>日</w:t>
      </w:r>
    </w:p>
    <w:p>
      <w:pPr>
        <w:rPr>
          <w:rFonts w:ascii="Times New Roman" w:hAnsi="Times New Roman"/>
          <w:bCs/>
          <w:szCs w:val="21"/>
        </w:rPr>
      </w:pPr>
      <w:r>
        <w:rPr>
          <w:rFonts w:hint="eastAsia" w:ascii="Times New Roman" w:hAnsi="Times New Roman"/>
          <w:bCs/>
          <w:szCs w:val="21"/>
        </w:rPr>
        <w:t xml:space="preserve"> </w:t>
      </w:r>
    </w:p>
    <w:p>
      <w:pPr>
        <w:spacing w:line="280" w:lineRule="exact"/>
        <w:rPr>
          <w:rFonts w:cstheme="minorHAnsi"/>
          <w:bCs/>
          <w:kern w:val="0"/>
          <w:sz w:val="18"/>
          <w:szCs w:val="18"/>
        </w:rPr>
      </w:pPr>
      <w:r>
        <w:rPr>
          <w:rFonts w:ascii="Times New Roman" w:hAnsi="Times New Roman"/>
          <w:bCs/>
          <w:sz w:val="18"/>
          <w:szCs w:val="24"/>
        </w:rPr>
        <w:t>说</w:t>
      </w:r>
      <w:r>
        <w:rPr>
          <w:bCs/>
          <w:sz w:val="18"/>
          <w:szCs w:val="24"/>
        </w:rPr>
        <w:t>明</w:t>
      </w:r>
      <w:r>
        <w:rPr>
          <w:rFonts w:cstheme="minorHAnsi"/>
          <w:bCs/>
          <w:sz w:val="18"/>
          <w:szCs w:val="24"/>
        </w:rPr>
        <w:t>：</w:t>
      </w:r>
      <w:r>
        <w:rPr>
          <w:rFonts w:cstheme="minorHAnsi"/>
          <w:bCs/>
          <w:kern w:val="0"/>
          <w:sz w:val="18"/>
          <w:szCs w:val="18"/>
        </w:rPr>
        <w:t>1.本表为年报，填报每年1月1日至12月31日情况。</w:t>
      </w:r>
    </w:p>
    <w:p>
      <w:pPr>
        <w:adjustRightInd w:val="0"/>
        <w:spacing w:line="280" w:lineRule="exact"/>
        <w:ind w:left="525" w:leftChars="250"/>
        <w:rPr>
          <w:rFonts w:cstheme="minorHAnsi"/>
          <w:bCs/>
          <w:sz w:val="18"/>
          <w:szCs w:val="24"/>
        </w:rPr>
      </w:pPr>
      <w:r>
        <w:rPr>
          <w:rFonts w:cstheme="minorHAnsi"/>
          <w:bCs/>
          <w:kern w:val="0"/>
          <w:sz w:val="18"/>
          <w:szCs w:val="18"/>
        </w:rPr>
        <w:t>2.填报范围：各省、自治区、直辖市、科技厅（委、局）报送</w:t>
      </w:r>
      <w:r>
        <w:rPr>
          <w:rFonts w:cstheme="minorHAnsi"/>
          <w:bCs/>
          <w:sz w:val="18"/>
          <w:szCs w:val="24"/>
        </w:rPr>
        <w:t>经各地方高新技术企业认定管理机构认定，</w:t>
      </w:r>
      <w:r>
        <w:rPr>
          <w:rFonts w:cstheme="minorHAnsi"/>
          <w:bCs/>
          <w:kern w:val="0"/>
          <w:sz w:val="18"/>
          <w:szCs w:val="18"/>
        </w:rPr>
        <w:t>并经全国高新技术企业认定管理工作领导小组备案，获得高新技术企业证书，且证书于报告期年底尚在有效期内的企业综合情况。</w:t>
      </w:r>
    </w:p>
    <w:p>
      <w:pPr>
        <w:adjustRightInd w:val="0"/>
        <w:spacing w:line="280" w:lineRule="exact"/>
        <w:ind w:left="525" w:leftChars="250"/>
        <w:rPr>
          <w:rFonts w:cstheme="minorHAnsi"/>
          <w:bCs/>
          <w:sz w:val="18"/>
          <w:szCs w:val="24"/>
        </w:rPr>
      </w:pPr>
      <w:r>
        <w:rPr>
          <w:rFonts w:cstheme="minorHAnsi"/>
          <w:bCs/>
          <w:kern w:val="0"/>
          <w:sz w:val="18"/>
          <w:szCs w:val="21"/>
        </w:rPr>
        <w:t>3.</w:t>
      </w:r>
      <w:r>
        <w:rPr>
          <w:rFonts w:cstheme="minorHAnsi"/>
          <w:bCs/>
          <w:sz w:val="18"/>
          <w:szCs w:val="24"/>
        </w:rPr>
        <w:t>报送日期及方式：本表请各科技</w:t>
      </w:r>
      <w:r>
        <w:rPr>
          <w:rFonts w:hint="eastAsia" w:cstheme="minorHAnsi"/>
          <w:bCs/>
          <w:sz w:val="18"/>
          <w:szCs w:val="24"/>
          <w:lang w:val="en-US" w:eastAsia="zh-CN"/>
        </w:rPr>
        <w:t>部门</w:t>
      </w:r>
      <w:r>
        <w:rPr>
          <w:rFonts w:cstheme="minorHAnsi"/>
          <w:bCs/>
          <w:sz w:val="18"/>
          <w:szCs w:val="24"/>
        </w:rPr>
        <w:t>务必于报告期次年</w:t>
      </w:r>
      <w:r>
        <w:rPr>
          <w:rFonts w:hint="eastAsia" w:cstheme="minorHAnsi"/>
          <w:bCs/>
          <w:sz w:val="18"/>
          <w:szCs w:val="24"/>
          <w:lang w:val="en-US" w:eastAsia="zh-CN"/>
        </w:rPr>
        <w:t>1</w:t>
      </w:r>
      <w:r>
        <w:rPr>
          <w:rFonts w:cstheme="minorHAnsi"/>
          <w:bCs/>
          <w:sz w:val="18"/>
          <w:szCs w:val="24"/>
        </w:rPr>
        <w:t>月</w:t>
      </w:r>
      <w:r>
        <w:rPr>
          <w:rFonts w:hint="eastAsia" w:cstheme="minorHAnsi"/>
          <w:bCs/>
          <w:sz w:val="18"/>
          <w:szCs w:val="24"/>
          <w:lang w:val="en-US" w:eastAsia="zh-CN"/>
        </w:rPr>
        <w:t>22</w:t>
      </w:r>
      <w:r>
        <w:rPr>
          <w:rFonts w:cstheme="minorHAnsi"/>
          <w:bCs/>
          <w:sz w:val="18"/>
          <w:szCs w:val="24"/>
        </w:rPr>
        <w:t>日前将审核过的报表通过</w:t>
      </w:r>
      <w:r>
        <w:rPr>
          <w:rFonts w:cstheme="minorHAnsi"/>
          <w:bCs/>
          <w:kern w:val="0"/>
          <w:sz w:val="18"/>
          <w:szCs w:val="21"/>
        </w:rPr>
        <w:t>科技部火炬统计调查信息系统填报</w:t>
      </w:r>
      <w:r>
        <w:rPr>
          <w:rFonts w:cstheme="minorHAnsi"/>
          <w:bCs/>
          <w:sz w:val="18"/>
          <w:szCs w:val="24"/>
        </w:rPr>
        <w:t>，同时将领导签字盖章的纸件作为附件上传。</w:t>
      </w:r>
    </w:p>
    <w:p>
      <w:pPr>
        <w:adjustRightInd w:val="0"/>
        <w:spacing w:line="280" w:lineRule="exact"/>
        <w:ind w:left="525" w:leftChars="250"/>
        <w:rPr>
          <w:rFonts w:hint="default" w:eastAsia="宋体" w:cstheme="minorHAnsi"/>
          <w:bCs/>
          <w:sz w:val="18"/>
          <w:szCs w:val="24"/>
          <w:lang w:val="en-US" w:eastAsia="zh-CN"/>
        </w:rPr>
      </w:pPr>
      <w:r>
        <w:rPr>
          <w:rFonts w:cstheme="minorHAnsi"/>
          <w:bCs/>
          <w:sz w:val="18"/>
          <w:szCs w:val="24"/>
        </w:rPr>
        <w:t>4.审核</w:t>
      </w:r>
      <w:r>
        <w:rPr>
          <w:rFonts w:cstheme="minorHAnsi"/>
          <w:bCs/>
          <w:kern w:val="0"/>
          <w:sz w:val="18"/>
          <w:szCs w:val="18"/>
        </w:rPr>
        <w:t>关系：</w:t>
      </w:r>
      <w:r>
        <w:rPr>
          <w:rFonts w:cstheme="minorHAnsi"/>
          <w:bCs/>
          <w:sz w:val="18"/>
          <w:szCs w:val="24"/>
        </w:rPr>
        <w:t>（1）K1A1</w:t>
      </w:r>
      <w:r>
        <w:rPr>
          <w:rFonts w:cstheme="minorHAnsi"/>
          <w:bCs/>
          <w:sz w:val="18"/>
          <w:szCs w:val="18"/>
        </w:rPr>
        <w:t>_0</w:t>
      </w:r>
      <w:r>
        <w:rPr>
          <w:rFonts w:cstheme="minorHAnsi"/>
          <w:bCs/>
          <w:sz w:val="18"/>
          <w:szCs w:val="24"/>
        </w:rPr>
        <w:t>&gt;</w:t>
      </w:r>
      <w:r>
        <w:rPr>
          <w:rFonts w:cstheme="minorHAnsi"/>
          <w:bCs/>
          <w:kern w:val="0"/>
          <w:sz w:val="18"/>
          <w:szCs w:val="18"/>
        </w:rPr>
        <w:t>K1A2</w:t>
      </w:r>
      <w:r>
        <w:rPr>
          <w:rFonts w:cstheme="minorHAnsi"/>
          <w:bCs/>
          <w:sz w:val="18"/>
          <w:szCs w:val="24"/>
        </w:rPr>
        <w:t>（2）K1C1&gt;=K1C2（3）K2E&gt;=K1E(4)K1G&gt;KH</w:t>
      </w:r>
      <w:r>
        <w:rPr>
          <w:rFonts w:hint="eastAsia" w:cstheme="minorHAnsi"/>
          <w:bCs/>
          <w:sz w:val="18"/>
          <w:szCs w:val="24"/>
          <w:lang w:val="en-US" w:eastAsia="zh-CN"/>
        </w:rPr>
        <w:t>+KJ</w:t>
      </w:r>
    </w:p>
    <w:p>
      <w:pPr>
        <w:rPr>
          <w:rFonts w:ascii="Times New Roman" w:hAnsi="Times New Roman"/>
          <w:bCs/>
        </w:rPr>
      </w:pPr>
    </w:p>
    <w:p>
      <w:pPr>
        <w:tabs>
          <w:tab w:val="left" w:pos="753"/>
        </w:tabs>
        <w:spacing w:line="400" w:lineRule="exact"/>
        <w:jc w:val="center"/>
        <w:rPr>
          <w:rFonts w:ascii="Times New Roman" w:hAnsi="Times New Roman"/>
          <w:b/>
          <w:sz w:val="32"/>
          <w:szCs w:val="32"/>
        </w:rPr>
      </w:pPr>
      <w:r>
        <w:rPr>
          <w:rFonts w:ascii="Times New Roman" w:hAnsi="Times New Roman"/>
          <w:color w:val="FF0000"/>
          <w:sz w:val="28"/>
          <w:szCs w:val="28"/>
        </w:rPr>
        <w:br w:type="page"/>
      </w:r>
      <w:r>
        <w:rPr>
          <w:rFonts w:ascii="Times New Roman" w:hAnsi="Times New Roman"/>
          <w:b/>
          <w:sz w:val="32"/>
          <w:szCs w:val="32"/>
        </w:rPr>
        <w:t>指标解释</w:t>
      </w:r>
    </w:p>
    <w:p>
      <w:pPr>
        <w:pStyle w:val="2"/>
        <w:rPr>
          <w:rFonts w:ascii="Times New Roman" w:hAnsi="Times New Roman"/>
        </w:rPr>
      </w:pPr>
    </w:p>
    <w:p>
      <w:pPr>
        <w:spacing w:line="400" w:lineRule="exact"/>
        <w:ind w:firstLine="420" w:firstLineChars="200"/>
        <w:rPr>
          <w:rFonts w:ascii="Times New Roman" w:hAnsi="Times New Roman"/>
          <w:bCs/>
          <w:szCs w:val="21"/>
        </w:rPr>
      </w:pPr>
      <w:r>
        <w:rPr>
          <w:rFonts w:ascii="Times New Roman" w:hAnsi="Times New Roman" w:eastAsia="黑体"/>
          <w:bCs/>
          <w:szCs w:val="21"/>
        </w:rPr>
        <w:t>高新技术企业</w:t>
      </w:r>
      <w:r>
        <w:rPr>
          <w:rFonts w:hint="eastAsia"/>
          <w:bCs/>
        </w:rPr>
        <w:t>指经省、自治区、直辖市、计划单列市高新技术企业认定管理机构认定，并经全国高新技术企业认定管理工作领导小组备案，获得高新技术企业证书，且证书于报告期年底尚在有效期内的企业。</w:t>
      </w:r>
    </w:p>
    <w:p>
      <w:pPr>
        <w:spacing w:line="400" w:lineRule="exact"/>
        <w:ind w:firstLine="420" w:firstLineChars="200"/>
        <w:rPr>
          <w:rFonts w:ascii="Times New Roman" w:hAnsi="Times New Roman"/>
          <w:bCs/>
          <w:szCs w:val="21"/>
        </w:rPr>
      </w:pPr>
      <w:r>
        <w:rPr>
          <w:rFonts w:ascii="Times New Roman" w:hAnsi="Times New Roman" w:eastAsia="黑体"/>
          <w:bCs/>
          <w:szCs w:val="21"/>
        </w:rPr>
        <w:t>年末从业人员</w:t>
      </w:r>
      <w:r>
        <w:rPr>
          <w:rFonts w:ascii="Times New Roman" w:hAnsi="Times New Roman"/>
          <w:bCs/>
          <w:szCs w:val="21"/>
        </w:rPr>
        <w:t>指期末最后一日24时在本单位中工作，并取得工资或其他形式劳动报酬的人员数。该指标为时点指标，不包括最后一日当天及以前已经与单位解除劳动合同关系的人员，是在岗职工、劳务派遣人员及其他从业人员之和。从业人员不包括：</w:t>
      </w:r>
    </w:p>
    <w:p>
      <w:pPr>
        <w:spacing w:line="400" w:lineRule="exact"/>
        <w:ind w:firstLine="420" w:firstLineChars="200"/>
        <w:rPr>
          <w:rFonts w:ascii="Times New Roman" w:hAnsi="Times New Roman"/>
          <w:bCs/>
          <w:szCs w:val="21"/>
        </w:rPr>
      </w:pPr>
      <w:r>
        <w:rPr>
          <w:rFonts w:ascii="Times New Roman" w:hAnsi="Times New Roman"/>
          <w:bCs/>
          <w:szCs w:val="21"/>
        </w:rPr>
        <w:t>（1）离开本单位仍保留劳动关系，并定期领取生活费的人员；</w:t>
      </w:r>
    </w:p>
    <w:p>
      <w:pPr>
        <w:spacing w:line="400" w:lineRule="exact"/>
        <w:ind w:firstLine="420" w:firstLineChars="200"/>
        <w:rPr>
          <w:rFonts w:ascii="Times New Roman" w:hAnsi="Times New Roman"/>
          <w:bCs/>
          <w:szCs w:val="21"/>
        </w:rPr>
      </w:pPr>
      <w:r>
        <w:rPr>
          <w:rFonts w:ascii="Times New Roman" w:hAnsi="Times New Roman"/>
          <w:bCs/>
          <w:szCs w:val="21"/>
        </w:rPr>
        <w:t>（2）利用课余时间打工的学生及在本单位实习的各类在校学生；</w:t>
      </w:r>
    </w:p>
    <w:p>
      <w:pPr>
        <w:spacing w:line="400" w:lineRule="exact"/>
        <w:ind w:firstLine="420" w:firstLineChars="200"/>
        <w:rPr>
          <w:rFonts w:ascii="Times New Roman" w:hAnsi="Times New Roman"/>
          <w:bCs/>
          <w:szCs w:val="21"/>
        </w:rPr>
      </w:pPr>
      <w:r>
        <w:rPr>
          <w:rFonts w:ascii="Times New Roman" w:hAnsi="Times New Roman"/>
          <w:bCs/>
          <w:szCs w:val="21"/>
        </w:rPr>
        <w:t>（3）本单位因劳务外包而使用的人员，如：建筑业整建制使用的人员。</w:t>
      </w:r>
    </w:p>
    <w:p>
      <w:pPr>
        <w:spacing w:line="400" w:lineRule="exact"/>
        <w:ind w:firstLine="420" w:firstLineChars="200"/>
        <w:rPr>
          <w:rFonts w:ascii="Times New Roman" w:hAnsi="Times New Roman"/>
          <w:bCs/>
          <w:szCs w:val="21"/>
        </w:rPr>
      </w:pPr>
      <w:r>
        <w:rPr>
          <w:rFonts w:ascii="Times New Roman" w:hAnsi="Times New Roman" w:eastAsia="黑体"/>
          <w:bCs/>
          <w:szCs w:val="21"/>
        </w:rPr>
        <w:t>工业增加值</w:t>
      </w:r>
      <w:r>
        <w:rPr>
          <w:rFonts w:ascii="Times New Roman" w:hAnsi="Times New Roman"/>
          <w:bCs/>
          <w:szCs w:val="21"/>
        </w:rPr>
        <w:t>是指工业企业在报告期内以货币形式表现的工业生产活动的最终成果;是工业企业全部生产活动的总成果扣除了在生产过程中消耗或转移的物质产品和劳务价值后的余额;是工业企业生产过程中新增加的价值。工业增加值有两种核算方法：</w:t>
      </w:r>
    </w:p>
    <w:p>
      <w:pPr>
        <w:pStyle w:val="2"/>
        <w:spacing w:after="0" w:line="400" w:lineRule="exact"/>
        <w:ind w:firstLine="400" w:firstLineChars="200"/>
        <w:rPr>
          <w:rFonts w:ascii="Times New Roman" w:hAnsi="Times New Roman"/>
          <w:szCs w:val="21"/>
        </w:rPr>
      </w:pPr>
      <w:r>
        <w:rPr>
          <w:rFonts w:ascii="Times New Roman" w:hAnsi="Times New Roman"/>
          <w:szCs w:val="21"/>
        </w:rPr>
        <w:t>一是生产法，即工业总产出减去工业中间投入；</w:t>
      </w:r>
    </w:p>
    <w:p>
      <w:pPr>
        <w:pStyle w:val="2"/>
        <w:spacing w:after="0" w:line="400" w:lineRule="exact"/>
        <w:ind w:firstLine="400" w:firstLineChars="200"/>
        <w:rPr>
          <w:rFonts w:ascii="Times New Roman" w:hAnsi="Times New Roman"/>
          <w:szCs w:val="21"/>
        </w:rPr>
      </w:pPr>
      <w:r>
        <w:rPr>
          <w:rFonts w:ascii="Times New Roman" w:hAnsi="Times New Roman"/>
          <w:szCs w:val="21"/>
        </w:rPr>
        <w:t>二是收入法，即从收入的角度出发，根据生产要素在生产过程中应得到的收入份额</w:t>
      </w:r>
      <w:r>
        <w:rPr>
          <w:rFonts w:ascii="Times New Roman" w:hAnsi="Times New Roman"/>
          <w:bCs/>
          <w:szCs w:val="24"/>
        </w:rPr>
        <w:t>核算</w:t>
      </w:r>
      <w:r>
        <w:rPr>
          <w:rFonts w:ascii="Times New Roman" w:hAnsi="Times New Roman"/>
          <w:szCs w:val="21"/>
        </w:rPr>
        <w:t>，具体构成项目有固定资产折旧、劳动者报酬、生产税净额、营业盈余，这种方法也称要素分配法。</w:t>
      </w:r>
    </w:p>
    <w:p>
      <w:pPr>
        <w:pStyle w:val="2"/>
        <w:spacing w:after="0" w:line="400" w:lineRule="exact"/>
        <w:ind w:firstLine="400" w:firstLineChars="200"/>
        <w:rPr>
          <w:rFonts w:ascii="Times New Roman" w:hAnsi="Times New Roman"/>
          <w:szCs w:val="21"/>
        </w:rPr>
      </w:pPr>
      <w:r>
        <w:rPr>
          <w:rFonts w:ascii="Times New Roman" w:hAnsi="Times New Roman"/>
          <w:szCs w:val="21"/>
        </w:rPr>
        <w:t>（1）生产法：工业增加值=工业总产出—工业中间投入+应缴增值税</w:t>
      </w:r>
    </w:p>
    <w:p>
      <w:pPr>
        <w:pStyle w:val="2"/>
        <w:spacing w:after="0" w:line="400" w:lineRule="exact"/>
        <w:ind w:firstLine="400" w:firstLineChars="200"/>
        <w:rPr>
          <w:rFonts w:ascii="Times New Roman" w:hAnsi="Times New Roman"/>
        </w:rPr>
      </w:pPr>
      <w:r>
        <w:rPr>
          <w:rFonts w:ascii="Times New Roman" w:hAnsi="Times New Roman"/>
          <w:szCs w:val="21"/>
        </w:rPr>
        <w:t>（2）收入法（分配法）：工业增加值=固定资产折旧+劳动者报酬+生产税净额+营业盈余</w:t>
      </w:r>
    </w:p>
    <w:p>
      <w:pPr>
        <w:spacing w:line="400" w:lineRule="exact"/>
        <w:ind w:firstLine="420" w:firstLineChars="200"/>
        <w:rPr>
          <w:rFonts w:ascii="Times New Roman" w:hAnsi="Times New Roman"/>
          <w:bCs/>
          <w:szCs w:val="21"/>
        </w:rPr>
      </w:pPr>
      <w:r>
        <w:rPr>
          <w:rFonts w:ascii="Times New Roman" w:hAnsi="Times New Roman" w:eastAsia="黑体"/>
          <w:bCs/>
          <w:szCs w:val="21"/>
        </w:rPr>
        <w:t>工业总产值</w:t>
      </w:r>
      <w:r>
        <w:rPr>
          <w:rFonts w:ascii="Times New Roman" w:hAnsi="Times New Roman"/>
          <w:bCs/>
          <w:szCs w:val="21"/>
        </w:rPr>
        <w:t>指工业企业在报告期内生产的以货币形式表现的工业最终产品和提供工业劳务活动的总价值量。</w:t>
      </w:r>
    </w:p>
    <w:p>
      <w:pPr>
        <w:spacing w:line="400" w:lineRule="exact"/>
        <w:ind w:firstLine="420" w:firstLineChars="200"/>
        <w:rPr>
          <w:rFonts w:ascii="Times New Roman" w:hAnsi="Times New Roman"/>
          <w:bCs/>
          <w:szCs w:val="21"/>
        </w:rPr>
      </w:pPr>
      <w:r>
        <w:rPr>
          <w:rFonts w:ascii="Times New Roman" w:hAnsi="Times New Roman" w:eastAsia="黑体"/>
          <w:bCs/>
          <w:szCs w:val="21"/>
        </w:rPr>
        <w:t>营业收入</w:t>
      </w:r>
      <w:r>
        <w:rPr>
          <w:rFonts w:hint="eastAsia"/>
          <w:bCs/>
          <w:szCs w:val="21"/>
        </w:rPr>
        <w:t>指企业经营主要业务和其他业务所确认的收入总额，包括“主营业务收入”和“其他业务收入”。根据会计“利润表”中“营业收入”项目的本期金额数填报。</w:t>
      </w:r>
    </w:p>
    <w:p>
      <w:pPr>
        <w:spacing w:line="400" w:lineRule="exact"/>
        <w:ind w:firstLine="420" w:firstLineChars="200"/>
        <w:rPr>
          <w:rFonts w:ascii="Times New Roman" w:hAnsi="Times New Roman"/>
          <w:bCs/>
          <w:szCs w:val="21"/>
        </w:rPr>
      </w:pPr>
      <w:r>
        <w:rPr>
          <w:rFonts w:ascii="Times New Roman" w:hAnsi="Times New Roman" w:eastAsia="黑体"/>
          <w:bCs/>
          <w:szCs w:val="21"/>
        </w:rPr>
        <w:t>利润总额</w:t>
      </w:r>
      <w:r>
        <w:rPr>
          <w:rFonts w:ascii="Times New Roman" w:hAnsi="Times New Roman"/>
          <w:bCs/>
          <w:szCs w:val="21"/>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spacing w:line="400" w:lineRule="exact"/>
        <w:ind w:firstLine="420" w:firstLineChars="200"/>
        <w:rPr>
          <w:rFonts w:ascii="Times New Roman" w:hAnsi="Times New Roman"/>
          <w:bCs/>
          <w:szCs w:val="21"/>
        </w:rPr>
      </w:pPr>
      <w:r>
        <w:rPr>
          <w:rFonts w:ascii="Times New Roman" w:hAnsi="Times New Roman" w:eastAsia="黑体"/>
          <w:bCs/>
          <w:szCs w:val="21"/>
        </w:rPr>
        <w:t>净利润</w:t>
      </w:r>
      <w:r>
        <w:rPr>
          <w:rFonts w:ascii="Times New Roman" w:hAnsi="Times New Roman"/>
          <w:bCs/>
          <w:szCs w:val="21"/>
        </w:rPr>
        <w:t>指企业实现的利润在上交国家所得税后的剩余部分。按会计“损益表”中“净利润”项的本年累计数填列。</w:t>
      </w:r>
    </w:p>
    <w:p>
      <w:pPr>
        <w:spacing w:line="400" w:lineRule="exact"/>
        <w:ind w:firstLine="420" w:firstLineChars="200"/>
        <w:rPr>
          <w:rFonts w:ascii="Times New Roman" w:hAnsi="Times New Roman"/>
          <w:bCs/>
          <w:szCs w:val="21"/>
        </w:rPr>
      </w:pPr>
      <w:r>
        <w:rPr>
          <w:rFonts w:ascii="Times New Roman" w:hAnsi="Times New Roman" w:eastAsia="黑体"/>
          <w:bCs/>
          <w:szCs w:val="21"/>
        </w:rPr>
        <w:t>实际上缴税费总额</w:t>
      </w:r>
      <w:r>
        <w:rPr>
          <w:rFonts w:ascii="Times New Roman" w:hAnsi="Times New Roman"/>
          <w:bCs/>
          <w:szCs w:val="21"/>
        </w:rPr>
        <w:t>指企业在报告期内实际上缴的各项税金、特种基金和附加费等。按当年实际发生额填报。</w:t>
      </w:r>
    </w:p>
    <w:p>
      <w:pPr>
        <w:spacing w:line="400" w:lineRule="exact"/>
        <w:ind w:firstLine="420" w:firstLineChars="200"/>
        <w:rPr>
          <w:rFonts w:ascii="Times New Roman" w:hAnsi="Times New Roman"/>
          <w:bCs/>
          <w:szCs w:val="21"/>
        </w:rPr>
      </w:pPr>
      <w:r>
        <w:rPr>
          <w:rFonts w:ascii="Times New Roman" w:hAnsi="Times New Roman" w:eastAsia="黑体"/>
          <w:bCs/>
          <w:szCs w:val="21"/>
        </w:rPr>
        <w:t>实际减免税总额</w:t>
      </w:r>
      <w:r>
        <w:rPr>
          <w:rFonts w:ascii="Times New Roman" w:hAnsi="Times New Roman"/>
          <w:bCs/>
          <w:szCs w:val="21"/>
        </w:rPr>
        <w:t>指报告期内企业根据国家或地方政府有关政策，实际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pPr>
        <w:spacing w:line="400" w:lineRule="exact"/>
        <w:ind w:firstLine="420" w:firstLineChars="200"/>
        <w:rPr>
          <w:rFonts w:ascii="Times New Roman" w:hAnsi="Times New Roman"/>
          <w:bCs/>
          <w:szCs w:val="21"/>
        </w:rPr>
      </w:pPr>
      <w:r>
        <w:rPr>
          <w:rFonts w:ascii="Times New Roman" w:hAnsi="Times New Roman" w:eastAsia="黑体"/>
          <w:bCs/>
          <w:szCs w:val="21"/>
        </w:rPr>
        <w:t>享受高新技术企业所得税减免</w:t>
      </w:r>
      <w:r>
        <w:rPr>
          <w:rFonts w:ascii="Times New Roman" w:hAnsi="Times New Roman"/>
          <w:bCs/>
          <w:szCs w:val="21"/>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pPr>
        <w:spacing w:line="400" w:lineRule="exact"/>
        <w:ind w:firstLine="420" w:firstLineChars="200"/>
        <w:rPr>
          <w:rFonts w:ascii="Times New Roman" w:hAnsi="Times New Roman"/>
          <w:bCs/>
          <w:szCs w:val="21"/>
        </w:rPr>
      </w:pPr>
      <w:r>
        <w:rPr>
          <w:rFonts w:hint="eastAsia" w:ascii="Times New Roman" w:hAnsi="Times New Roman" w:eastAsia="黑体"/>
          <w:bCs/>
          <w:szCs w:val="21"/>
        </w:rPr>
        <w:t>享受先进制造业企业增值税加计抵减额</w:t>
      </w:r>
      <w:r>
        <w:rPr>
          <w:rFonts w:hint="default" w:ascii="Times New Roman" w:hAnsi="Times New Roman" w:eastAsia="宋体"/>
          <w:bCs/>
          <w:szCs w:val="21"/>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 ﹝2023﹞ 267号）及相关政策依法享受的增值税加计抵减额，按填报期当年税务部门实际抵减的税额填报。如本年实际发生的抵减额为零，即填0。</w:t>
      </w:r>
    </w:p>
    <w:bookmarkEnd w:id="3"/>
    <w:p/>
    <w:bookmarkEnd w:id="0"/>
    <w:bookmarkEnd w:id="1"/>
    <w:bookmarkEnd w:id="2"/>
    <w:p>
      <w:pPr>
        <w:keepNext w:val="0"/>
        <w:keepLines w:val="0"/>
        <w:pageBreakBefore w:val="0"/>
        <w:widowControl/>
        <w:kinsoku/>
        <w:overflowPunct/>
        <w:topLinePunct w:val="0"/>
        <w:autoSpaceDE/>
        <w:autoSpaceDN/>
        <w:bidi w:val="0"/>
        <w:spacing w:line="240" w:lineRule="auto"/>
        <w:ind w:right="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br w:type="page"/>
      </w:r>
    </w:p>
    <w:p>
      <w:pPr>
        <w:keepNext w:val="0"/>
        <w:keepLines w:val="0"/>
        <w:pageBreakBefore w:val="0"/>
        <w:widowControl/>
        <w:kinsoku/>
        <w:overflowPunct/>
        <w:topLinePunct w:val="0"/>
        <w:autoSpaceDE/>
        <w:autoSpaceDN/>
        <w:bidi w:val="0"/>
        <w:spacing w:line="600" w:lineRule="exact"/>
        <w:ind w:right="45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keepNext w:val="0"/>
        <w:keepLines w:val="0"/>
        <w:pageBreakBefore w:val="0"/>
        <w:widowControl/>
        <w:kinsoku/>
        <w:overflowPunct/>
        <w:topLinePunct w:val="0"/>
        <w:autoSpaceDE/>
        <w:autoSpaceDN/>
        <w:bidi w:val="0"/>
        <w:spacing w:line="600" w:lineRule="exact"/>
        <w:ind w:right="450"/>
        <w:textAlignment w:val="auto"/>
        <w:rPr>
          <w:rFonts w:hint="eastAsia" w:ascii="黑体" w:hAnsi="黑体" w:eastAsia="黑体" w:cs="黑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center"/>
        <w:textAlignment w:val="auto"/>
        <w:rPr>
          <w:rFonts w:ascii="宋体" w:hAnsi="宋体" w:cs="宋体"/>
          <w:b/>
          <w:bCs/>
          <w:color w:val="000000"/>
          <w:kern w:val="0"/>
          <w:sz w:val="36"/>
          <w:szCs w:val="36"/>
        </w:rPr>
      </w:pPr>
      <w:r>
        <w:rPr>
          <w:rFonts w:hint="eastAsia" w:ascii="宋体" w:hAnsi="宋体" w:cs="宋体"/>
          <w:b/>
          <w:bCs/>
          <w:color w:val="000000"/>
          <w:kern w:val="0"/>
          <w:sz w:val="36"/>
          <w:szCs w:val="36"/>
        </w:rPr>
        <w:t>国家火炬特色产业基地清单</w:t>
      </w:r>
    </w:p>
    <w:p>
      <w:pPr>
        <w:keepNext w:val="0"/>
        <w:keepLines w:val="0"/>
        <w:pageBreakBefore w:val="0"/>
        <w:widowControl/>
        <w:kinsoku/>
        <w:overflowPunct/>
        <w:topLinePunct w:val="0"/>
        <w:autoSpaceDE/>
        <w:autoSpaceDN/>
        <w:bidi w:val="0"/>
        <w:spacing w:line="600" w:lineRule="exact"/>
        <w:jc w:val="left"/>
        <w:textAlignment w:val="auto"/>
        <w:rPr>
          <w:rFonts w:ascii="仿宋_GB2312" w:hAnsi="宋体" w:eastAsia="仿宋_GB2312" w:cs="宋体"/>
          <w:color w:val="000000"/>
          <w:kern w:val="0"/>
          <w:sz w:val="32"/>
          <w:szCs w:val="32"/>
          <w:vertAlign w:val="baseline"/>
        </w:rPr>
      </w:pPr>
    </w:p>
    <w:tbl>
      <w:tblPr>
        <w:tblStyle w:val="11"/>
        <w:tblW w:w="8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rPr>
              <w:t>序号</w:t>
            </w:r>
          </w:p>
        </w:tc>
        <w:tc>
          <w:tcPr>
            <w:tcW w:w="698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1</w:t>
            </w:r>
          </w:p>
        </w:tc>
        <w:tc>
          <w:tcPr>
            <w:tcW w:w="6987"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国家火炬计划泉州微波通信产业基地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2</w:t>
            </w:r>
          </w:p>
        </w:tc>
        <w:tc>
          <w:tcPr>
            <w:tcW w:w="6987"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国家火炬计划德化陶瓷产业基地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3</w:t>
            </w:r>
          </w:p>
        </w:tc>
        <w:tc>
          <w:tcPr>
            <w:tcW w:w="6987"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国家火炬泉州经开区无线通信特色产业基地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4</w:t>
            </w:r>
          </w:p>
        </w:tc>
        <w:tc>
          <w:tcPr>
            <w:tcW w:w="6987"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国家火炬计划莆田液晶显示产业基地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5</w:t>
            </w:r>
          </w:p>
        </w:tc>
        <w:tc>
          <w:tcPr>
            <w:tcW w:w="6987"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国家火炬计划建瓯笋竹科技特色产业基地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6</w:t>
            </w:r>
          </w:p>
        </w:tc>
        <w:tc>
          <w:tcPr>
            <w:tcW w:w="6987"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国家火炬福建福安中小电机特色产业基地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7</w:t>
            </w:r>
          </w:p>
        </w:tc>
        <w:tc>
          <w:tcPr>
            <w:tcW w:w="6987"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国家火炬福鼎化油器特色产业基地</w:t>
            </w:r>
          </w:p>
        </w:tc>
      </w:tr>
    </w:tbl>
    <w:p>
      <w:pPr>
        <w:keepNext w:val="0"/>
        <w:keepLines w:val="0"/>
        <w:pageBreakBefore w:val="0"/>
        <w:widowControl/>
        <w:kinsoku/>
        <w:overflowPunct/>
        <w:topLinePunct w:val="0"/>
        <w:autoSpaceDE/>
        <w:autoSpaceDN/>
        <w:bidi w:val="0"/>
        <w:spacing w:line="600" w:lineRule="exact"/>
        <w:jc w:val="left"/>
        <w:textAlignment w:val="auto"/>
        <w:rPr>
          <w:rFonts w:ascii="仿宋_GB2312" w:hAnsi="宋体" w:eastAsia="仿宋_GB2312" w:cs="宋体"/>
          <w:color w:val="000000"/>
          <w:kern w:val="0"/>
          <w:sz w:val="32"/>
          <w:szCs w:val="32"/>
          <w:vertAlign w:val="baseline"/>
        </w:rPr>
      </w:pPr>
    </w:p>
    <w:p>
      <w:pPr>
        <w:keepNext w:val="0"/>
        <w:keepLines w:val="0"/>
        <w:pageBreakBefore w:val="0"/>
        <w:widowControl/>
        <w:kinsoku/>
        <w:overflowPunct/>
        <w:topLinePunct w:val="0"/>
        <w:autoSpaceDE/>
        <w:autoSpaceDN/>
        <w:bidi w:val="0"/>
        <w:spacing w:line="600" w:lineRule="exact"/>
        <w:jc w:val="left"/>
        <w:textAlignment w:val="auto"/>
        <w:rPr>
          <w:rFonts w:ascii="仿宋_GB2312" w:hAnsi="宋体" w:eastAsia="仿宋_GB2312" w:cs="宋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br w:type="page"/>
      </w:r>
    </w:p>
    <w:p>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keepNext w:val="0"/>
        <w:keepLines w:val="0"/>
        <w:pageBreakBefore w:val="0"/>
        <w:widowControl/>
        <w:kinsoku/>
        <w:overflowPunct/>
        <w:topLinePunct w:val="0"/>
        <w:autoSpaceDE/>
        <w:autoSpaceDN/>
        <w:bidi w:val="0"/>
        <w:spacing w:line="600" w:lineRule="exact"/>
        <w:ind w:right="450"/>
        <w:jc w:val="both"/>
        <w:textAlignment w:val="auto"/>
        <w:rPr>
          <w:rFonts w:ascii="宋体" w:hAnsi="宋体" w:cs="宋体"/>
          <w:b/>
          <w:bCs/>
          <w:color w:val="000000"/>
          <w:kern w:val="0"/>
          <w:sz w:val="36"/>
          <w:szCs w:val="36"/>
        </w:rPr>
      </w:pPr>
    </w:p>
    <w:p>
      <w:pPr>
        <w:keepNext w:val="0"/>
        <w:keepLines w:val="0"/>
        <w:pageBreakBefore w:val="0"/>
        <w:widowControl/>
        <w:kinsoku/>
        <w:overflowPunct/>
        <w:topLinePunct w:val="0"/>
        <w:autoSpaceDE/>
        <w:autoSpaceDN/>
        <w:bidi w:val="0"/>
        <w:spacing w:line="600" w:lineRule="exact"/>
        <w:ind w:right="450"/>
        <w:jc w:val="center"/>
        <w:textAlignment w:val="auto"/>
        <w:rPr>
          <w:rFonts w:ascii="宋体" w:hAnsi="宋体" w:eastAsia="宋体" w:cs="宋体"/>
          <w:b/>
          <w:bCs/>
          <w:color w:val="000000"/>
          <w:kern w:val="0"/>
          <w:sz w:val="36"/>
          <w:szCs w:val="36"/>
        </w:rPr>
      </w:pPr>
      <w:r>
        <w:rPr>
          <w:rFonts w:hint="eastAsia" w:ascii="宋体" w:hAnsi="宋体" w:cs="宋体"/>
          <w:b/>
          <w:bCs/>
          <w:color w:val="000000"/>
          <w:kern w:val="0"/>
          <w:sz w:val="36"/>
          <w:szCs w:val="36"/>
          <w:lang w:val="en-US" w:eastAsia="zh-CN"/>
        </w:rPr>
        <w:t>国家</w:t>
      </w:r>
      <w:r>
        <w:rPr>
          <w:rFonts w:hint="eastAsia" w:ascii="宋体" w:hAnsi="宋体" w:eastAsia="宋体" w:cs="宋体"/>
          <w:b/>
          <w:bCs/>
          <w:color w:val="000000"/>
          <w:kern w:val="0"/>
          <w:sz w:val="36"/>
          <w:szCs w:val="36"/>
        </w:rPr>
        <w:t>创新型产业集群清单</w:t>
      </w:r>
    </w:p>
    <w:p>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tbl>
      <w:tblPr>
        <w:tblStyle w:val="11"/>
        <w:tblW w:w="7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szCs w:val="28"/>
              </w:rPr>
              <w:t>序号</w:t>
            </w:r>
          </w:p>
        </w:tc>
        <w:tc>
          <w:tcPr>
            <w:tcW w:w="646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szCs w:val="28"/>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szCs w:val="28"/>
              </w:rPr>
              <w:t>1</w:t>
            </w:r>
          </w:p>
        </w:tc>
        <w:tc>
          <w:tcPr>
            <w:tcW w:w="6463"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ascii="仿宋_GB2312" w:hAnsi="宋体" w:eastAsia="仿宋_GB2312" w:cs="宋体"/>
                <w:kern w:val="0"/>
                <w:sz w:val="28"/>
                <w:szCs w:val="28"/>
              </w:rPr>
              <w:t>闽东中小电机创新型产业集群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szCs w:val="28"/>
              </w:rPr>
              <w:t>2</w:t>
            </w:r>
          </w:p>
        </w:tc>
        <w:tc>
          <w:tcPr>
            <w:tcW w:w="6463"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ascii="仿宋_GB2312" w:hAnsi="宋体" w:eastAsia="仿宋_GB2312" w:cs="宋体"/>
                <w:kern w:val="0"/>
                <w:sz w:val="28"/>
                <w:szCs w:val="28"/>
              </w:rPr>
              <w:t>泉州微波通信创新型产业集群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szCs w:val="28"/>
              </w:rPr>
              <w:t>3</w:t>
            </w:r>
          </w:p>
        </w:tc>
        <w:tc>
          <w:tcPr>
            <w:tcW w:w="6463"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600" w:lineRule="exact"/>
              <w:jc w:val="center"/>
              <w:textAlignment w:val="auto"/>
            </w:pPr>
            <w:r>
              <w:rPr>
                <w:rFonts w:hint="eastAsia" w:ascii="仿宋_GB2312" w:hAnsi="宋体" w:eastAsia="仿宋_GB2312" w:cs="宋体"/>
                <w:kern w:val="0"/>
                <w:sz w:val="28"/>
                <w:szCs w:val="28"/>
              </w:rPr>
              <w:t>福州高新区光电创新型产业集群</w:t>
            </w:r>
          </w:p>
        </w:tc>
      </w:tr>
    </w:tbl>
    <w:p>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sectPr>
      <w:footerReference r:id="rId5" w:type="default"/>
      <w:pgSz w:w="11906" w:h="16838"/>
      <w:pgMar w:top="1440" w:right="1466" w:bottom="1440" w:left="1800" w:header="851" w:footer="90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3"/>
                              <w:rFonts w:hint="eastAsia" w:ascii="宋体" w:hAnsi="宋体" w:eastAsia="宋体" w:cs="宋体"/>
                              <w:sz w:val="28"/>
                              <w:szCs w:val="28"/>
                            </w:rPr>
                          </w:pP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8</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13"/>
                        <w:rFonts w:hint="eastAsia" w:ascii="宋体" w:hAnsi="宋体" w:eastAsia="宋体" w:cs="宋体"/>
                        <w:sz w:val="28"/>
                        <w:szCs w:val="28"/>
                      </w:rPr>
                    </w:pP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8</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NDY4ZDUxYTZmMWNmNzYwMjMyZWJkZWQyZGVlODQifQ=="/>
  </w:docVars>
  <w:rsids>
    <w:rsidRoot w:val="001D615E"/>
    <w:rsid w:val="00020D9D"/>
    <w:rsid w:val="00041676"/>
    <w:rsid w:val="00041FCD"/>
    <w:rsid w:val="00045225"/>
    <w:rsid w:val="0004530E"/>
    <w:rsid w:val="0004730C"/>
    <w:rsid w:val="00050992"/>
    <w:rsid w:val="00070601"/>
    <w:rsid w:val="00070990"/>
    <w:rsid w:val="0008089C"/>
    <w:rsid w:val="000864C8"/>
    <w:rsid w:val="00092BB6"/>
    <w:rsid w:val="000976D1"/>
    <w:rsid w:val="000D4218"/>
    <w:rsid w:val="000D6734"/>
    <w:rsid w:val="000E45E6"/>
    <w:rsid w:val="00107F10"/>
    <w:rsid w:val="00131ECD"/>
    <w:rsid w:val="00132CB1"/>
    <w:rsid w:val="00152DD2"/>
    <w:rsid w:val="0016055F"/>
    <w:rsid w:val="00167913"/>
    <w:rsid w:val="00192930"/>
    <w:rsid w:val="00194447"/>
    <w:rsid w:val="001B006E"/>
    <w:rsid w:val="001B3B5B"/>
    <w:rsid w:val="001C26B7"/>
    <w:rsid w:val="001D615E"/>
    <w:rsid w:val="001D74B1"/>
    <w:rsid w:val="001E1C20"/>
    <w:rsid w:val="001E316D"/>
    <w:rsid w:val="001E4109"/>
    <w:rsid w:val="002077B6"/>
    <w:rsid w:val="00212452"/>
    <w:rsid w:val="002219B8"/>
    <w:rsid w:val="00224E7C"/>
    <w:rsid w:val="00225D91"/>
    <w:rsid w:val="00232F82"/>
    <w:rsid w:val="00244DB5"/>
    <w:rsid w:val="0025446E"/>
    <w:rsid w:val="0026292C"/>
    <w:rsid w:val="002711A1"/>
    <w:rsid w:val="002A1927"/>
    <w:rsid w:val="002A649D"/>
    <w:rsid w:val="002C1C31"/>
    <w:rsid w:val="002D54EC"/>
    <w:rsid w:val="002E6EE1"/>
    <w:rsid w:val="002F2409"/>
    <w:rsid w:val="00310EDD"/>
    <w:rsid w:val="00324463"/>
    <w:rsid w:val="003340D0"/>
    <w:rsid w:val="00362BD2"/>
    <w:rsid w:val="00366038"/>
    <w:rsid w:val="003669F4"/>
    <w:rsid w:val="00370F0B"/>
    <w:rsid w:val="00371F81"/>
    <w:rsid w:val="003A49E3"/>
    <w:rsid w:val="003B57EB"/>
    <w:rsid w:val="003D0440"/>
    <w:rsid w:val="003D56B3"/>
    <w:rsid w:val="003D6119"/>
    <w:rsid w:val="003E4F28"/>
    <w:rsid w:val="00401089"/>
    <w:rsid w:val="00401319"/>
    <w:rsid w:val="004037F1"/>
    <w:rsid w:val="00407311"/>
    <w:rsid w:val="00412DE5"/>
    <w:rsid w:val="004240BB"/>
    <w:rsid w:val="00425054"/>
    <w:rsid w:val="00463000"/>
    <w:rsid w:val="00464838"/>
    <w:rsid w:val="00467392"/>
    <w:rsid w:val="00471E5A"/>
    <w:rsid w:val="00481B7D"/>
    <w:rsid w:val="004835E3"/>
    <w:rsid w:val="004841BE"/>
    <w:rsid w:val="004C6988"/>
    <w:rsid w:val="004D213F"/>
    <w:rsid w:val="004E7213"/>
    <w:rsid w:val="004F4FA2"/>
    <w:rsid w:val="005066C3"/>
    <w:rsid w:val="00515673"/>
    <w:rsid w:val="005247BD"/>
    <w:rsid w:val="0054054C"/>
    <w:rsid w:val="00541E74"/>
    <w:rsid w:val="0054662B"/>
    <w:rsid w:val="00551D38"/>
    <w:rsid w:val="00555E85"/>
    <w:rsid w:val="005631E0"/>
    <w:rsid w:val="00567297"/>
    <w:rsid w:val="005877E7"/>
    <w:rsid w:val="00592218"/>
    <w:rsid w:val="005A1212"/>
    <w:rsid w:val="005A73F2"/>
    <w:rsid w:val="005B20D6"/>
    <w:rsid w:val="005C3ADF"/>
    <w:rsid w:val="005C7F0B"/>
    <w:rsid w:val="0060290C"/>
    <w:rsid w:val="0060412F"/>
    <w:rsid w:val="00622C8F"/>
    <w:rsid w:val="0064706A"/>
    <w:rsid w:val="00647EE2"/>
    <w:rsid w:val="00663A9A"/>
    <w:rsid w:val="0067019A"/>
    <w:rsid w:val="0068636C"/>
    <w:rsid w:val="00696953"/>
    <w:rsid w:val="006B2C7D"/>
    <w:rsid w:val="006B634F"/>
    <w:rsid w:val="006B7748"/>
    <w:rsid w:val="006C03AB"/>
    <w:rsid w:val="006D442D"/>
    <w:rsid w:val="006D5AA9"/>
    <w:rsid w:val="006E3BB7"/>
    <w:rsid w:val="006E69A0"/>
    <w:rsid w:val="006E7B7E"/>
    <w:rsid w:val="006F08CB"/>
    <w:rsid w:val="0070222C"/>
    <w:rsid w:val="00712E68"/>
    <w:rsid w:val="00714A3E"/>
    <w:rsid w:val="00725FC1"/>
    <w:rsid w:val="00730F74"/>
    <w:rsid w:val="00736927"/>
    <w:rsid w:val="00744490"/>
    <w:rsid w:val="0076048D"/>
    <w:rsid w:val="0077351C"/>
    <w:rsid w:val="00780D67"/>
    <w:rsid w:val="00783CF8"/>
    <w:rsid w:val="00793619"/>
    <w:rsid w:val="007978FE"/>
    <w:rsid w:val="007A629F"/>
    <w:rsid w:val="007B042B"/>
    <w:rsid w:val="007B41B6"/>
    <w:rsid w:val="007B731E"/>
    <w:rsid w:val="007C389E"/>
    <w:rsid w:val="007C5482"/>
    <w:rsid w:val="007C6521"/>
    <w:rsid w:val="007D2331"/>
    <w:rsid w:val="007D698A"/>
    <w:rsid w:val="007E259E"/>
    <w:rsid w:val="007E5796"/>
    <w:rsid w:val="007F3E5D"/>
    <w:rsid w:val="007F7737"/>
    <w:rsid w:val="0081640D"/>
    <w:rsid w:val="00833085"/>
    <w:rsid w:val="00836028"/>
    <w:rsid w:val="008427EC"/>
    <w:rsid w:val="00844816"/>
    <w:rsid w:val="008461A5"/>
    <w:rsid w:val="00863292"/>
    <w:rsid w:val="00867CC5"/>
    <w:rsid w:val="00874481"/>
    <w:rsid w:val="00882E1C"/>
    <w:rsid w:val="00883401"/>
    <w:rsid w:val="0089171B"/>
    <w:rsid w:val="008960EE"/>
    <w:rsid w:val="008977E4"/>
    <w:rsid w:val="008B0C68"/>
    <w:rsid w:val="008B2B2F"/>
    <w:rsid w:val="008B4A83"/>
    <w:rsid w:val="008C6BF4"/>
    <w:rsid w:val="008D4A33"/>
    <w:rsid w:val="008D53DE"/>
    <w:rsid w:val="00904229"/>
    <w:rsid w:val="0091461E"/>
    <w:rsid w:val="00922EFC"/>
    <w:rsid w:val="00945612"/>
    <w:rsid w:val="00954BCA"/>
    <w:rsid w:val="00967284"/>
    <w:rsid w:val="00971AB6"/>
    <w:rsid w:val="00983161"/>
    <w:rsid w:val="009900BC"/>
    <w:rsid w:val="00990A27"/>
    <w:rsid w:val="009A1D77"/>
    <w:rsid w:val="009A2611"/>
    <w:rsid w:val="009A28A0"/>
    <w:rsid w:val="009A50D8"/>
    <w:rsid w:val="009B2333"/>
    <w:rsid w:val="009C0D3A"/>
    <w:rsid w:val="009C368F"/>
    <w:rsid w:val="009E370B"/>
    <w:rsid w:val="00A03390"/>
    <w:rsid w:val="00A043FA"/>
    <w:rsid w:val="00A06AD2"/>
    <w:rsid w:val="00A22BF2"/>
    <w:rsid w:val="00A24E75"/>
    <w:rsid w:val="00A33FFE"/>
    <w:rsid w:val="00A46F50"/>
    <w:rsid w:val="00A558DD"/>
    <w:rsid w:val="00A562E4"/>
    <w:rsid w:val="00A569E7"/>
    <w:rsid w:val="00A660B3"/>
    <w:rsid w:val="00A702FA"/>
    <w:rsid w:val="00A9012C"/>
    <w:rsid w:val="00A905C6"/>
    <w:rsid w:val="00AA39D8"/>
    <w:rsid w:val="00AA4264"/>
    <w:rsid w:val="00AB044F"/>
    <w:rsid w:val="00AB2BA7"/>
    <w:rsid w:val="00AB38D1"/>
    <w:rsid w:val="00AC0D16"/>
    <w:rsid w:val="00AC6706"/>
    <w:rsid w:val="00AD7CFA"/>
    <w:rsid w:val="00AE5296"/>
    <w:rsid w:val="00AE6B7C"/>
    <w:rsid w:val="00AF7FF4"/>
    <w:rsid w:val="00B02F69"/>
    <w:rsid w:val="00B0401C"/>
    <w:rsid w:val="00B071F5"/>
    <w:rsid w:val="00B10EA7"/>
    <w:rsid w:val="00B44283"/>
    <w:rsid w:val="00B47F7D"/>
    <w:rsid w:val="00B666F1"/>
    <w:rsid w:val="00B759CC"/>
    <w:rsid w:val="00B83292"/>
    <w:rsid w:val="00B94AB5"/>
    <w:rsid w:val="00B96C29"/>
    <w:rsid w:val="00BA7A21"/>
    <w:rsid w:val="00BB1287"/>
    <w:rsid w:val="00BB47FC"/>
    <w:rsid w:val="00BC2C86"/>
    <w:rsid w:val="00BC6EEE"/>
    <w:rsid w:val="00BE1D92"/>
    <w:rsid w:val="00BE3B3F"/>
    <w:rsid w:val="00BE5E22"/>
    <w:rsid w:val="00BF1850"/>
    <w:rsid w:val="00C11950"/>
    <w:rsid w:val="00C15661"/>
    <w:rsid w:val="00C44AB8"/>
    <w:rsid w:val="00C51740"/>
    <w:rsid w:val="00C83C0A"/>
    <w:rsid w:val="00CA52C4"/>
    <w:rsid w:val="00CB01A9"/>
    <w:rsid w:val="00CC1EBE"/>
    <w:rsid w:val="00CC7DA3"/>
    <w:rsid w:val="00CD2E0A"/>
    <w:rsid w:val="00CE0867"/>
    <w:rsid w:val="00CE3EF9"/>
    <w:rsid w:val="00CF2AAC"/>
    <w:rsid w:val="00CF456E"/>
    <w:rsid w:val="00CF75A1"/>
    <w:rsid w:val="00D00C0C"/>
    <w:rsid w:val="00D039AD"/>
    <w:rsid w:val="00D07E70"/>
    <w:rsid w:val="00D11D7D"/>
    <w:rsid w:val="00D25EF3"/>
    <w:rsid w:val="00D36AF9"/>
    <w:rsid w:val="00D472A5"/>
    <w:rsid w:val="00D52784"/>
    <w:rsid w:val="00D54568"/>
    <w:rsid w:val="00D5689C"/>
    <w:rsid w:val="00D669ED"/>
    <w:rsid w:val="00D81D0A"/>
    <w:rsid w:val="00D871C5"/>
    <w:rsid w:val="00D93D6F"/>
    <w:rsid w:val="00DA19C5"/>
    <w:rsid w:val="00DA2F25"/>
    <w:rsid w:val="00DA3379"/>
    <w:rsid w:val="00DA56F4"/>
    <w:rsid w:val="00DA5E61"/>
    <w:rsid w:val="00DB1508"/>
    <w:rsid w:val="00DC0781"/>
    <w:rsid w:val="00DD5A3A"/>
    <w:rsid w:val="00DF7423"/>
    <w:rsid w:val="00E0165B"/>
    <w:rsid w:val="00E06948"/>
    <w:rsid w:val="00E22711"/>
    <w:rsid w:val="00E24EB3"/>
    <w:rsid w:val="00E31420"/>
    <w:rsid w:val="00E32C55"/>
    <w:rsid w:val="00E45F54"/>
    <w:rsid w:val="00E540F9"/>
    <w:rsid w:val="00E55A44"/>
    <w:rsid w:val="00E73EC2"/>
    <w:rsid w:val="00E77068"/>
    <w:rsid w:val="00E810F9"/>
    <w:rsid w:val="00E9234E"/>
    <w:rsid w:val="00E94BA6"/>
    <w:rsid w:val="00ED5133"/>
    <w:rsid w:val="00EE723F"/>
    <w:rsid w:val="00EF1D63"/>
    <w:rsid w:val="00EF58D0"/>
    <w:rsid w:val="00F2049C"/>
    <w:rsid w:val="00F26995"/>
    <w:rsid w:val="00F309F0"/>
    <w:rsid w:val="00F410D0"/>
    <w:rsid w:val="00F50E57"/>
    <w:rsid w:val="00F520B5"/>
    <w:rsid w:val="00F66FA1"/>
    <w:rsid w:val="00F84739"/>
    <w:rsid w:val="00FD1251"/>
    <w:rsid w:val="00FD2184"/>
    <w:rsid w:val="00FF79F4"/>
    <w:rsid w:val="017160C1"/>
    <w:rsid w:val="02261DF3"/>
    <w:rsid w:val="022C2F8C"/>
    <w:rsid w:val="033220C0"/>
    <w:rsid w:val="03C66008"/>
    <w:rsid w:val="04E3516C"/>
    <w:rsid w:val="05856345"/>
    <w:rsid w:val="07852DBD"/>
    <w:rsid w:val="0A9F1830"/>
    <w:rsid w:val="0BBF4D98"/>
    <w:rsid w:val="0C642415"/>
    <w:rsid w:val="0E3F6141"/>
    <w:rsid w:val="0FB53C58"/>
    <w:rsid w:val="11ED1C49"/>
    <w:rsid w:val="12545A0A"/>
    <w:rsid w:val="144131AC"/>
    <w:rsid w:val="15301A12"/>
    <w:rsid w:val="156C722F"/>
    <w:rsid w:val="16B679F8"/>
    <w:rsid w:val="180330C3"/>
    <w:rsid w:val="197D59A3"/>
    <w:rsid w:val="1B42784B"/>
    <w:rsid w:val="1CA62F0D"/>
    <w:rsid w:val="1E13599C"/>
    <w:rsid w:val="1E68260F"/>
    <w:rsid w:val="1EA75B08"/>
    <w:rsid w:val="1FB55D31"/>
    <w:rsid w:val="23A73D9D"/>
    <w:rsid w:val="260B2AA2"/>
    <w:rsid w:val="266F2B04"/>
    <w:rsid w:val="26975D65"/>
    <w:rsid w:val="291A2DA5"/>
    <w:rsid w:val="2E8D12F1"/>
    <w:rsid w:val="30BB270D"/>
    <w:rsid w:val="310E50F0"/>
    <w:rsid w:val="312747BA"/>
    <w:rsid w:val="34217834"/>
    <w:rsid w:val="347B063E"/>
    <w:rsid w:val="34876D0A"/>
    <w:rsid w:val="34CC7B5C"/>
    <w:rsid w:val="35BF75F3"/>
    <w:rsid w:val="36002FA6"/>
    <w:rsid w:val="36CC4848"/>
    <w:rsid w:val="371C4085"/>
    <w:rsid w:val="3A610DC9"/>
    <w:rsid w:val="3C097D27"/>
    <w:rsid w:val="3C5747E6"/>
    <w:rsid w:val="3E046930"/>
    <w:rsid w:val="3E6E12FC"/>
    <w:rsid w:val="3F2767A6"/>
    <w:rsid w:val="3F3E3E23"/>
    <w:rsid w:val="40655F2E"/>
    <w:rsid w:val="451009BE"/>
    <w:rsid w:val="478864AB"/>
    <w:rsid w:val="482842D2"/>
    <w:rsid w:val="484225C8"/>
    <w:rsid w:val="48A70FC8"/>
    <w:rsid w:val="48E374F8"/>
    <w:rsid w:val="495B7215"/>
    <w:rsid w:val="4A9278A4"/>
    <w:rsid w:val="4C9D5E7D"/>
    <w:rsid w:val="4D9E6CD9"/>
    <w:rsid w:val="4DA412A6"/>
    <w:rsid w:val="4E3C4DE1"/>
    <w:rsid w:val="4EA84467"/>
    <w:rsid w:val="50A76312"/>
    <w:rsid w:val="51EB103B"/>
    <w:rsid w:val="52F04324"/>
    <w:rsid w:val="534526E7"/>
    <w:rsid w:val="55D60BD7"/>
    <w:rsid w:val="57346995"/>
    <w:rsid w:val="57694D29"/>
    <w:rsid w:val="58297B2E"/>
    <w:rsid w:val="5B6C7284"/>
    <w:rsid w:val="5BA761AB"/>
    <w:rsid w:val="5C7837FE"/>
    <w:rsid w:val="5E2004CF"/>
    <w:rsid w:val="5E3A0BA6"/>
    <w:rsid w:val="5F73289B"/>
    <w:rsid w:val="6004105B"/>
    <w:rsid w:val="625A3DED"/>
    <w:rsid w:val="637C3A76"/>
    <w:rsid w:val="63AF386E"/>
    <w:rsid w:val="65945795"/>
    <w:rsid w:val="66896C40"/>
    <w:rsid w:val="6A3C677B"/>
    <w:rsid w:val="6A3E0A74"/>
    <w:rsid w:val="6AB40435"/>
    <w:rsid w:val="6D27630E"/>
    <w:rsid w:val="6D6449CA"/>
    <w:rsid w:val="6FB51758"/>
    <w:rsid w:val="704C516B"/>
    <w:rsid w:val="721D18C0"/>
    <w:rsid w:val="73A6614D"/>
    <w:rsid w:val="75F126B1"/>
    <w:rsid w:val="76992854"/>
    <w:rsid w:val="79143F95"/>
    <w:rsid w:val="7D9D3026"/>
    <w:rsid w:val="7ECB2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line="360" w:lineRule="exact"/>
      <w:jc w:val="center"/>
      <w:outlineLvl w:val="0"/>
    </w:pPr>
    <w:rPr>
      <w:rFonts w:ascii="宋体" w:eastAsia="黑体"/>
      <w:b/>
      <w:sz w:val="32"/>
    </w:rPr>
  </w:style>
  <w:style w:type="paragraph" w:styleId="4">
    <w:name w:val="heading 2"/>
    <w:basedOn w:val="1"/>
    <w:next w:val="1"/>
    <w:link w:val="15"/>
    <w:qFormat/>
    <w:uiPriority w:val="0"/>
    <w:pPr>
      <w:jc w:val="center"/>
      <w:outlineLvl w:val="1"/>
    </w:pPr>
    <w:rPr>
      <w:rFonts w:ascii="宋体" w:hAnsi="宋体"/>
      <w:sz w:val="32"/>
    </w:rPr>
  </w:style>
  <w:style w:type="paragraph" w:styleId="5">
    <w:name w:val="heading 3"/>
    <w:basedOn w:val="1"/>
    <w:next w:val="1"/>
    <w:link w:val="16"/>
    <w:autoRedefine/>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pPr>
    <w:rPr>
      <w:kern w:val="0"/>
      <w:sz w:val="20"/>
      <w:szCs w:val="20"/>
    </w:rPr>
  </w:style>
  <w:style w:type="paragraph" w:styleId="6">
    <w:name w:val="Body Text Indent 2"/>
    <w:basedOn w:val="1"/>
    <w:link w:val="18"/>
    <w:qFormat/>
    <w:uiPriority w:val="0"/>
    <w:pPr>
      <w:spacing w:line="280" w:lineRule="exact"/>
      <w:ind w:firstLine="360"/>
    </w:pPr>
    <w:rPr>
      <w:color w:val="FF0000"/>
      <w:sz w:val="18"/>
    </w:r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00"/>
      <w:u w:val="none"/>
    </w:rPr>
  </w:style>
  <w:style w:type="character" w:customStyle="1" w:styleId="15">
    <w:name w:val="标题 2 Char"/>
    <w:link w:val="4"/>
    <w:qFormat/>
    <w:uiPriority w:val="0"/>
    <w:rPr>
      <w:rFonts w:ascii="宋体" w:hAnsi="宋体"/>
      <w:kern w:val="2"/>
      <w:sz w:val="32"/>
      <w:szCs w:val="24"/>
    </w:rPr>
  </w:style>
  <w:style w:type="character" w:customStyle="1" w:styleId="16">
    <w:name w:val="标题 3 Char"/>
    <w:link w:val="5"/>
    <w:autoRedefine/>
    <w:qFormat/>
    <w:uiPriority w:val="0"/>
    <w:rPr>
      <w:b/>
      <w:bCs/>
      <w:kern w:val="2"/>
      <w:sz w:val="32"/>
      <w:szCs w:val="32"/>
    </w:rPr>
  </w:style>
  <w:style w:type="character" w:customStyle="1" w:styleId="17">
    <w:name w:val="正文文本缩进 2 Char"/>
    <w:qFormat/>
    <w:uiPriority w:val="0"/>
    <w:rPr>
      <w:kern w:val="2"/>
      <w:sz w:val="21"/>
      <w:szCs w:val="24"/>
    </w:rPr>
  </w:style>
  <w:style w:type="character" w:customStyle="1" w:styleId="18">
    <w:name w:val="正文文本缩进 2 Char1"/>
    <w:link w:val="6"/>
    <w:qFormat/>
    <w:uiPriority w:val="0"/>
    <w:rPr>
      <w:color w:val="FF0000"/>
      <w:kern w:val="2"/>
      <w:sz w:val="18"/>
      <w:szCs w:val="24"/>
    </w:rPr>
  </w:style>
  <w:style w:type="paragraph" w:customStyle="1" w:styleId="19">
    <w:name w:val="p0"/>
    <w:basedOn w:val="1"/>
    <w:autoRedefine/>
    <w:qFormat/>
    <w:uiPriority w:val="0"/>
    <w:pPr>
      <w:widowControl/>
    </w:pPr>
    <w:rPr>
      <w:kern w:val="0"/>
      <w:szCs w:val="21"/>
    </w:rPr>
  </w:style>
  <w:style w:type="character" w:customStyle="1" w:styleId="20">
    <w:name w:val="sub-cat-title"/>
    <w:basedOn w:val="12"/>
    <w:qFormat/>
    <w:uiPriority w:val="0"/>
  </w:style>
  <w:style w:type="character" w:customStyle="1" w:styleId="21">
    <w:name w:val="正文文本 Char1"/>
    <w:basedOn w:val="12"/>
    <w:link w:val="2"/>
    <w:qFormat/>
    <w:uiPriority w:val="99"/>
  </w:style>
  <w:style w:type="character" w:customStyle="1" w:styleId="22">
    <w:name w:val="正文文本 Char"/>
    <w:basedOn w:val="12"/>
    <w:autoRedefine/>
    <w:qFormat/>
    <w:uiPriority w:val="0"/>
    <w:rPr>
      <w:kern w:val="2"/>
      <w:sz w:val="21"/>
      <w:szCs w:val="24"/>
    </w:rPr>
  </w:style>
  <w:style w:type="paragraph" w:customStyle="1" w:styleId="23">
    <w:name w:val="Table Paragraph"/>
    <w:basedOn w:val="1"/>
    <w:qFormat/>
    <w:uiPriority w:val="0"/>
    <w:pPr>
      <w:autoSpaceDE w:val="0"/>
      <w:autoSpaceDN w:val="0"/>
      <w:adjustRightInd w:val="0"/>
      <w:jc w:val="left"/>
    </w:pPr>
    <w:rPr>
      <w:kern w:val="0"/>
      <w:sz w:val="24"/>
      <w:szCs w:val="22"/>
    </w:rPr>
  </w:style>
  <w:style w:type="character" w:customStyle="1" w:styleId="24">
    <w:name w:val="sname"/>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4058</Words>
  <Characters>4368</Characters>
  <Lines>48</Lines>
  <Paragraphs>13</Paragraphs>
  <TotalTime>208</TotalTime>
  <ScaleCrop>false</ScaleCrop>
  <LinksUpToDate>false</LinksUpToDate>
  <CharactersWithSpaces>4573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2020-12-10T08:08:00Z</dcterms:created>
  <dc:creator>kj</dc:creator>
  <cp:lastModifiedBy>xxjs</cp:lastModifiedBy>
  <cp:lastPrinted>2024-01-22T02:41:00Z</cp:lastPrinted>
  <dcterms:modified xsi:type="dcterms:W3CDTF">2024-01-24T08:09:01Z</dcterms:modified>
  <dc:title>各有关单位：</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72AC1A9BF2E44417ADAE93F04989495A</vt:lpwstr>
  </property>
</Properties>
</file>