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A3F3E">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right="0" w:rightChars="0"/>
        <w:jc w:val="both"/>
        <w:textAlignment w:val="auto"/>
        <w:outlineLvl w:val="9"/>
        <w:rPr>
          <w:rFonts w:hint="eastAsia" w:ascii="宋体" w:hAnsi="宋体" w:eastAsia="宋体" w:cs="宋体"/>
          <w:b/>
          <w:bCs w:val="0"/>
          <w:color w:val="auto"/>
          <w:sz w:val="44"/>
          <w:szCs w:val="44"/>
          <w:lang w:val="en-US" w:eastAsia="zh-CN"/>
        </w:rPr>
      </w:pPr>
      <w:bookmarkStart w:id="0" w:name="_GoBack"/>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2：</w:t>
      </w:r>
    </w:p>
    <w:p w14:paraId="66E7D556">
      <w:pPr>
        <w:widowControl w:val="0"/>
        <w:autoSpaceDE w:val="0"/>
        <w:autoSpaceDN w:val="0"/>
        <w:jc w:val="center"/>
        <w:rPr>
          <w:rFonts w:hint="eastAsia" w:ascii="宋体" w:hAnsi="宋体" w:eastAsia="宋体" w:cs="宋体"/>
          <w:b/>
          <w:bCs w:val="0"/>
          <w:color w:val="auto"/>
          <w:sz w:val="44"/>
          <w:szCs w:val="44"/>
          <w:lang w:val="zh-CN"/>
        </w:rPr>
      </w:pPr>
      <w:r>
        <w:rPr>
          <w:rFonts w:hint="eastAsia" w:ascii="宋体" w:hAnsi="宋体" w:eastAsia="宋体" w:cs="宋体"/>
          <w:b/>
          <w:bCs w:val="0"/>
          <w:color w:val="auto"/>
          <w:sz w:val="44"/>
          <w:szCs w:val="44"/>
          <w:lang w:val="en-US" w:eastAsia="zh-CN"/>
        </w:rPr>
        <w:t>202</w:t>
      </w:r>
      <w:r>
        <w:rPr>
          <w:rFonts w:hint="eastAsia" w:ascii="宋体" w:hAnsi="宋体" w:cs="宋体"/>
          <w:b/>
          <w:bCs w:val="0"/>
          <w:color w:val="auto"/>
          <w:sz w:val="44"/>
          <w:szCs w:val="44"/>
          <w:lang w:val="en-US" w:eastAsia="zh-CN"/>
        </w:rPr>
        <w:t>4</w:t>
      </w:r>
      <w:r>
        <w:rPr>
          <w:rFonts w:hint="eastAsia" w:ascii="宋体" w:hAnsi="宋体" w:eastAsia="宋体" w:cs="宋体"/>
          <w:b/>
          <w:bCs w:val="0"/>
          <w:color w:val="auto"/>
          <w:sz w:val="44"/>
          <w:szCs w:val="44"/>
          <w:lang w:val="en-US" w:eastAsia="zh-CN"/>
        </w:rPr>
        <w:t>年度</w:t>
      </w:r>
      <w:r>
        <w:rPr>
          <w:rFonts w:hint="eastAsia" w:ascii="宋体" w:hAnsi="宋体" w:eastAsia="宋体" w:cs="宋体"/>
          <w:b/>
          <w:bCs w:val="0"/>
          <w:color w:val="auto"/>
          <w:sz w:val="44"/>
          <w:szCs w:val="44"/>
          <w:lang w:val="zh-CN"/>
        </w:rPr>
        <w:t>林业改革发展</w:t>
      </w:r>
    </w:p>
    <w:p w14:paraId="31EBF0EA">
      <w:pPr>
        <w:widowControl w:val="0"/>
        <w:autoSpaceDE w:val="0"/>
        <w:autoSpaceDN w:val="0"/>
        <w:jc w:val="center"/>
        <w:rPr>
          <w:rFonts w:hint="eastAsia" w:ascii="宋体" w:hAnsi="宋体" w:eastAsia="宋体" w:cs="宋体"/>
          <w:b/>
          <w:bCs w:val="0"/>
          <w:color w:val="auto"/>
          <w:sz w:val="44"/>
          <w:szCs w:val="44"/>
          <w:lang w:val="zh-CN"/>
        </w:rPr>
      </w:pPr>
      <w:r>
        <w:rPr>
          <w:rFonts w:hint="eastAsia" w:ascii="宋体" w:hAnsi="宋体" w:eastAsia="宋体" w:cs="宋体"/>
          <w:b/>
          <w:bCs w:val="0"/>
          <w:color w:val="auto"/>
          <w:sz w:val="44"/>
          <w:szCs w:val="44"/>
          <w:lang w:val="zh-CN"/>
        </w:rPr>
        <w:t>专项资金绩效自评报告</w:t>
      </w:r>
    </w:p>
    <w:bookmarkEnd w:id="0"/>
    <w:p w14:paraId="45316998">
      <w:pPr>
        <w:spacing w:line="520" w:lineRule="exact"/>
        <w:rPr>
          <w:rFonts w:hint="eastAsia" w:ascii="仿宋_GB2312" w:hAnsi="仿宋_GB2312" w:cs="仿宋_GB2312"/>
          <w:color w:val="auto"/>
          <w:sz w:val="32"/>
          <w:szCs w:val="32"/>
        </w:rPr>
      </w:pPr>
    </w:p>
    <w:p w14:paraId="2C9BC8C5">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仿宋_GB2312" w:hAnsi="仿宋_GB2312" w:eastAsia="仿宋_GB2312"/>
          <w:color w:val="auto"/>
          <w:sz w:val="32"/>
          <w:szCs w:val="32"/>
          <w:highlight w:val="none"/>
          <w:lang w:val="zh-CN"/>
        </w:rPr>
        <w:t>根据</w:t>
      </w: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莆田市</w:t>
      </w:r>
      <w:r>
        <w:rPr>
          <w:rFonts w:hint="eastAsia" w:ascii="仿宋" w:hAnsi="仿宋" w:eastAsia="仿宋" w:cs="仿宋"/>
          <w:color w:val="auto"/>
          <w:sz w:val="32"/>
          <w:szCs w:val="32"/>
          <w:highlight w:val="none"/>
          <w:lang w:eastAsia="zh-CN"/>
        </w:rPr>
        <w:t>林业局关于</w:t>
      </w:r>
      <w:r>
        <w:rPr>
          <w:rFonts w:hint="eastAsia" w:ascii="仿宋" w:hAnsi="仿宋" w:eastAsia="仿宋" w:cs="仿宋"/>
          <w:color w:val="auto"/>
          <w:sz w:val="32"/>
          <w:szCs w:val="32"/>
          <w:highlight w:val="none"/>
        </w:rPr>
        <w:t>开展202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w:t>
      </w:r>
      <w:r>
        <w:rPr>
          <w:rFonts w:hint="eastAsia" w:ascii="仿宋" w:hAnsi="仿宋" w:eastAsia="仿宋" w:cs="仿宋"/>
          <w:color w:val="auto"/>
          <w:sz w:val="32"/>
          <w:szCs w:val="32"/>
          <w:highlight w:val="none"/>
          <w:lang w:eastAsia="zh-CN"/>
        </w:rPr>
        <w:t>省级以上财政林业专项资金</w:t>
      </w:r>
      <w:r>
        <w:rPr>
          <w:rFonts w:hint="eastAsia" w:ascii="仿宋" w:hAnsi="仿宋" w:eastAsia="仿宋" w:cs="仿宋"/>
          <w:color w:val="auto"/>
          <w:sz w:val="32"/>
          <w:szCs w:val="32"/>
          <w:highlight w:val="none"/>
        </w:rPr>
        <w:t>绩效自评工作的通知》</w:t>
      </w:r>
      <w:r>
        <w:rPr>
          <w:rFonts w:hint="eastAsia" w:ascii="仿宋_GB2312" w:hAnsi="仿宋_GB2312" w:eastAsia="仿宋_GB2312"/>
          <w:color w:val="auto"/>
          <w:sz w:val="32"/>
          <w:szCs w:val="32"/>
          <w:highlight w:val="none"/>
          <w:lang w:val="zh-CN"/>
        </w:rPr>
        <w:t>要求，我县对202</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val="zh-CN"/>
        </w:rPr>
        <w:t>年度中央财政林业改革发展专项资金开展绩效评价工作，现将自评结果报告如下。</w:t>
      </w:r>
    </w:p>
    <w:p w14:paraId="227A6E2A">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一、绩效目标分解下达情况</w:t>
      </w:r>
    </w:p>
    <w:p w14:paraId="49020AEC">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24" w:firstLineChars="195"/>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根据省、市关于下达202</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val="zh-CN"/>
        </w:rPr>
        <w:t>年中央财政林业改革发展专项资金文件精神（</w:t>
      </w:r>
      <w:r>
        <w:rPr>
          <w:rFonts w:hint="eastAsia" w:ascii="仿宋" w:hAnsi="仿宋" w:eastAsia="仿宋"/>
          <w:color w:val="auto"/>
          <w:sz w:val="32"/>
          <w:highlight w:val="none"/>
          <w:lang w:val="zh-CN"/>
        </w:rPr>
        <w:t>闽财资环</w:t>
      </w:r>
      <w:r>
        <w:rPr>
          <w:rFonts w:hint="eastAsia" w:ascii="仿宋" w:hAnsi="仿宋" w:eastAsia="仿宋"/>
          <w:color w:val="auto"/>
          <w:sz w:val="32"/>
          <w:highlight w:val="none"/>
          <w:lang w:val="en-US" w:eastAsia="zh-CN"/>
        </w:rPr>
        <w:t>指</w:t>
      </w:r>
      <w:r>
        <w:rPr>
          <w:rFonts w:hint="eastAsia" w:ascii="仿宋" w:hAnsi="仿宋" w:eastAsia="仿宋"/>
          <w:color w:val="auto"/>
          <w:sz w:val="32"/>
          <w:highlight w:val="none"/>
          <w:lang w:val="zh-CN"/>
        </w:rPr>
        <w:t>〔202</w:t>
      </w:r>
      <w:r>
        <w:rPr>
          <w:rFonts w:hint="eastAsia" w:ascii="仿宋" w:hAnsi="仿宋" w:eastAsia="仿宋"/>
          <w:color w:val="auto"/>
          <w:sz w:val="32"/>
          <w:highlight w:val="none"/>
          <w:lang w:val="en-US" w:eastAsia="zh-CN"/>
        </w:rPr>
        <w:t>4</w:t>
      </w:r>
      <w:r>
        <w:rPr>
          <w:rFonts w:hint="eastAsia" w:ascii="仿宋" w:hAnsi="仿宋" w:eastAsia="仿宋"/>
          <w:color w:val="auto"/>
          <w:sz w:val="32"/>
          <w:highlight w:val="none"/>
          <w:lang w:val="zh-CN"/>
        </w:rPr>
        <w:t>〕</w:t>
      </w:r>
      <w:r>
        <w:rPr>
          <w:rFonts w:hint="eastAsia" w:ascii="仿宋" w:hAnsi="仿宋" w:eastAsia="仿宋"/>
          <w:color w:val="auto"/>
          <w:sz w:val="32"/>
          <w:highlight w:val="none"/>
          <w:lang w:val="en-US" w:eastAsia="zh-CN"/>
        </w:rPr>
        <w:t>16</w:t>
      </w:r>
      <w:r>
        <w:rPr>
          <w:rFonts w:hint="eastAsia" w:ascii="仿宋" w:hAnsi="仿宋" w:eastAsia="仿宋"/>
          <w:color w:val="auto"/>
          <w:sz w:val="32"/>
          <w:highlight w:val="none"/>
          <w:lang w:val="zh-CN"/>
        </w:rPr>
        <w:t>号</w:t>
      </w:r>
      <w:r>
        <w:rPr>
          <w:rFonts w:hint="eastAsia" w:ascii="仿宋_GB2312" w:hAnsi="仿宋_GB2312" w:eastAsia="仿宋_GB2312"/>
          <w:color w:val="auto"/>
          <w:sz w:val="32"/>
          <w:szCs w:val="32"/>
          <w:highlight w:val="none"/>
          <w:lang w:val="zh-CN"/>
        </w:rPr>
        <w:t>、莆财资环〔202</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val="zh-CN"/>
        </w:rPr>
        <w:t>〕1号、莆财资环〔202</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lang w:val="en-US" w:eastAsia="zh-CN"/>
        </w:rPr>
        <w:t>27</w:t>
      </w:r>
      <w:r>
        <w:rPr>
          <w:rFonts w:hint="eastAsia" w:ascii="仿宋_GB2312" w:hAnsi="仿宋_GB2312" w:eastAsia="仿宋_GB2312"/>
          <w:color w:val="auto"/>
          <w:sz w:val="32"/>
          <w:szCs w:val="32"/>
          <w:highlight w:val="none"/>
          <w:lang w:val="zh-CN"/>
        </w:rPr>
        <w:t>号、闽财资环指〔202</w:t>
      </w:r>
      <w:r>
        <w:rPr>
          <w:rFonts w:hint="eastAsia" w:ascii="仿宋_GB2312" w:hAnsi="仿宋_GB2312" w:eastAsia="仿宋_GB2312"/>
          <w:color w:val="auto"/>
          <w:sz w:val="32"/>
          <w:szCs w:val="32"/>
          <w:highlight w:val="none"/>
          <w:lang w:val="en-US" w:eastAsia="zh-CN"/>
        </w:rPr>
        <w:t>3</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lang w:val="en-US" w:eastAsia="zh-CN"/>
        </w:rPr>
        <w:t>58</w:t>
      </w:r>
      <w:r>
        <w:rPr>
          <w:rFonts w:hint="eastAsia" w:ascii="仿宋_GB2312" w:hAnsi="仿宋_GB2312" w:eastAsia="仿宋_GB2312"/>
          <w:color w:val="auto"/>
          <w:sz w:val="32"/>
          <w:szCs w:val="32"/>
          <w:highlight w:val="none"/>
          <w:lang w:val="zh-CN"/>
        </w:rPr>
        <w:t>号），202</w:t>
      </w:r>
      <w:r>
        <w:rPr>
          <w:rFonts w:hint="eastAsia" w:ascii="仿宋_GB2312" w:hAnsi="仿宋_GB2312" w:eastAsia="仿宋_GB2312"/>
          <w:color w:val="auto"/>
          <w:sz w:val="32"/>
          <w:szCs w:val="32"/>
          <w:highlight w:val="none"/>
          <w:lang w:val="en-US" w:eastAsia="zh-CN"/>
        </w:rPr>
        <w:t>4</w:t>
      </w:r>
      <w:r>
        <w:rPr>
          <w:rFonts w:hint="eastAsia" w:ascii="仿宋_GB2312" w:hAnsi="仿宋_GB2312" w:eastAsia="仿宋_GB2312"/>
          <w:color w:val="auto"/>
          <w:sz w:val="32"/>
          <w:szCs w:val="32"/>
          <w:highlight w:val="none"/>
          <w:lang w:val="zh-CN"/>
        </w:rPr>
        <w:t>年共下达我县中央财政林业改革发展资金共</w:t>
      </w:r>
      <w:r>
        <w:rPr>
          <w:rFonts w:hint="eastAsia" w:ascii="仿宋_GB2312" w:hAnsi="仿宋_GB2312" w:eastAsia="仿宋_GB2312"/>
          <w:color w:val="auto"/>
          <w:sz w:val="32"/>
          <w:szCs w:val="32"/>
          <w:highlight w:val="none"/>
          <w:lang w:val="en-US" w:eastAsia="zh-CN"/>
        </w:rPr>
        <w:t>261.69</w:t>
      </w:r>
      <w:r>
        <w:rPr>
          <w:rFonts w:hint="eastAsia" w:ascii="仿宋_GB2312" w:hAnsi="仿宋_GB2312" w:eastAsia="仿宋_GB2312"/>
          <w:color w:val="auto"/>
          <w:sz w:val="32"/>
          <w:szCs w:val="32"/>
          <w:highlight w:val="none"/>
          <w:lang w:val="zh-CN"/>
        </w:rPr>
        <w:t>万元。其中包括：森林防火补助</w:t>
      </w:r>
      <w:r>
        <w:rPr>
          <w:rFonts w:hint="eastAsia" w:ascii="仿宋_GB2312" w:hAnsi="仿宋_GB2312" w:eastAsia="仿宋_GB2312"/>
          <w:color w:val="auto"/>
          <w:sz w:val="32"/>
          <w:szCs w:val="32"/>
          <w:highlight w:val="none"/>
          <w:lang w:val="en-US" w:eastAsia="zh-CN"/>
        </w:rPr>
        <w:t>20</w:t>
      </w:r>
      <w:r>
        <w:rPr>
          <w:rFonts w:hint="eastAsia" w:ascii="仿宋_GB2312" w:hAnsi="仿宋_GB2312" w:eastAsia="仿宋_GB2312"/>
          <w:color w:val="auto"/>
          <w:sz w:val="32"/>
          <w:szCs w:val="32"/>
          <w:highlight w:val="none"/>
          <w:lang w:val="zh-CN"/>
        </w:rPr>
        <w:t>万元、林业有害生物防治补助</w:t>
      </w:r>
      <w:r>
        <w:rPr>
          <w:rFonts w:hint="eastAsia" w:ascii="仿宋_GB2312" w:hAnsi="仿宋_GB2312" w:eastAsia="仿宋_GB2312"/>
          <w:color w:val="auto"/>
          <w:sz w:val="32"/>
          <w:szCs w:val="32"/>
          <w:highlight w:val="none"/>
          <w:lang w:val="en-US" w:eastAsia="zh-CN"/>
        </w:rPr>
        <w:t>137.38</w:t>
      </w:r>
      <w:r>
        <w:rPr>
          <w:rFonts w:hint="eastAsia" w:ascii="仿宋_GB2312" w:hAnsi="仿宋_GB2312" w:eastAsia="仿宋_GB2312"/>
          <w:color w:val="auto"/>
          <w:sz w:val="32"/>
          <w:szCs w:val="32"/>
          <w:highlight w:val="none"/>
          <w:lang w:val="zh-CN"/>
        </w:rPr>
        <w:t>万元、林业有害生物防治补助（互花米草）</w:t>
      </w:r>
      <w:r>
        <w:rPr>
          <w:rFonts w:hint="eastAsia" w:ascii="仿宋_GB2312" w:hAnsi="仿宋_GB2312" w:eastAsia="仿宋_GB2312"/>
          <w:color w:val="auto"/>
          <w:sz w:val="32"/>
          <w:szCs w:val="32"/>
          <w:highlight w:val="none"/>
          <w:lang w:val="en-US" w:eastAsia="zh-CN"/>
        </w:rPr>
        <w:t>5.21万元、</w:t>
      </w:r>
      <w:r>
        <w:rPr>
          <w:rFonts w:hint="eastAsia" w:ascii="仿宋_GB2312" w:hAnsi="仿宋_GB2312" w:eastAsia="仿宋_GB2312"/>
          <w:color w:val="auto"/>
          <w:sz w:val="32"/>
          <w:szCs w:val="32"/>
          <w:highlight w:val="none"/>
          <w:lang w:val="zh-CN"/>
        </w:rPr>
        <w:t>林草科技推广示范补助</w:t>
      </w:r>
      <w:r>
        <w:rPr>
          <w:rFonts w:hint="eastAsia" w:ascii="仿宋_GB2312" w:hAnsi="仿宋_GB2312" w:eastAsia="仿宋_GB2312"/>
          <w:color w:val="auto"/>
          <w:sz w:val="32"/>
          <w:szCs w:val="32"/>
          <w:highlight w:val="none"/>
          <w:lang w:val="en-US" w:eastAsia="zh-CN"/>
        </w:rPr>
        <w:t>82万元</w:t>
      </w:r>
      <w:r>
        <w:rPr>
          <w:rFonts w:hint="eastAsia" w:ascii="仿宋_GB2312" w:hAnsi="仿宋_GB2312" w:eastAsia="仿宋_GB2312"/>
          <w:color w:val="auto"/>
          <w:sz w:val="32"/>
          <w:szCs w:val="32"/>
          <w:highlight w:val="none"/>
          <w:lang w:val="zh-CN"/>
        </w:rPr>
        <w:t>、</w:t>
      </w:r>
      <w:r>
        <w:rPr>
          <w:rFonts w:hint="eastAsia" w:ascii="仿宋_GB2312" w:hAnsi="仿宋_GB2312" w:eastAsia="仿宋_GB2312"/>
          <w:color w:val="auto"/>
          <w:sz w:val="32"/>
          <w:szCs w:val="32"/>
          <w:highlight w:val="none"/>
          <w:lang w:val="en-US" w:eastAsia="zh-CN"/>
        </w:rPr>
        <w:t>林草湿荒综合监测17.1万元</w:t>
      </w:r>
      <w:r>
        <w:rPr>
          <w:rFonts w:hint="eastAsia" w:ascii="仿宋_GB2312" w:hAnsi="仿宋_GB2312" w:eastAsia="仿宋_GB2312"/>
          <w:color w:val="auto"/>
          <w:sz w:val="32"/>
          <w:szCs w:val="32"/>
          <w:highlight w:val="none"/>
          <w:lang w:val="zh-CN"/>
        </w:rPr>
        <w:t>。</w:t>
      </w:r>
    </w:p>
    <w:p w14:paraId="2B6F14E6">
      <w:pPr>
        <w:autoSpaceDE w:val="0"/>
        <w:autoSpaceDN w:val="0"/>
        <w:spacing w:line="540" w:lineRule="exact"/>
        <w:ind w:firstLine="624" w:firstLineChars="195"/>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项目总体目标：松材线虫病防治8000亩，美国白蛾等其他重大林业有害生物防治面积数量10600亩次，松材线虫病防控目标任务完成率（同林长制考核细则）≧40%，林业有害生物无公害防治成效明显，林草科技推广项目数量</w:t>
      </w: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lang w:val="zh-CN"/>
        </w:rPr>
        <w:t>个，森林火灾受害率低于0.9‰，</w:t>
      </w:r>
      <w:r>
        <w:rPr>
          <w:rFonts w:hint="eastAsia" w:ascii="仿宋" w:hAnsi="仿宋" w:eastAsia="仿宋" w:cs="仿宋"/>
          <w:color w:val="auto"/>
          <w:sz w:val="32"/>
          <w:szCs w:val="32"/>
          <w:highlight w:val="none"/>
          <w:lang w:val="en-US" w:eastAsia="zh-CN"/>
        </w:rPr>
        <w:t>湿地生态系统生态效益发挥明显，湿地生态系统功能改善，可持续影响明显。</w:t>
      </w:r>
    </w:p>
    <w:p w14:paraId="3413707A">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二、绩效目标完成情况分析</w:t>
      </w:r>
    </w:p>
    <w:p w14:paraId="736D67DD">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szCs w:val="32"/>
          <w:highlight w:val="none"/>
          <w:lang w:val="zh-CN"/>
        </w:rPr>
      </w:pPr>
      <w:r>
        <w:rPr>
          <w:rFonts w:hint="eastAsia" w:ascii="楷体_GB2312" w:hAnsi="楷体_GB2312" w:eastAsia="楷体_GB2312"/>
          <w:b/>
          <w:color w:val="auto"/>
          <w:sz w:val="32"/>
          <w:szCs w:val="32"/>
          <w:highlight w:val="none"/>
          <w:lang w:val="zh-CN"/>
        </w:rPr>
        <w:t>(一)资金投入情况分析</w:t>
      </w:r>
    </w:p>
    <w:p w14:paraId="14A2C0C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在资金使用上，我县严格按照项目资金管理有关规定、行政单位会计制度规定和财政下达资金的使用范围管理和使用项目经费，做到专款专用，确保资金支出的真实性、安全性、合理性。能够确保实际支出与项目规定的用途一致，能够确保资金使用做到公开、公平。严格执行财经制度，自觉接受上级财务检查，无截留、挤占、挪用等违法行为。在项目实施过程中，对照上级下达的绩效目标，做好绩效监控，确保年度绩效目标如期实现。</w:t>
      </w:r>
    </w:p>
    <w:p w14:paraId="642377ED">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szCs w:val="32"/>
          <w:highlight w:val="none"/>
          <w:lang w:val="zh-CN"/>
        </w:rPr>
      </w:pPr>
      <w:r>
        <w:rPr>
          <w:rFonts w:hint="eastAsia" w:ascii="楷体_GB2312" w:hAnsi="楷体_GB2312" w:eastAsia="楷体_GB2312"/>
          <w:b/>
          <w:color w:val="auto"/>
          <w:sz w:val="32"/>
          <w:highlight w:val="none"/>
          <w:lang w:val="zh-CN"/>
        </w:rPr>
        <w:t>(二)</w:t>
      </w:r>
      <w:r>
        <w:rPr>
          <w:rFonts w:hint="eastAsia" w:ascii="楷体_GB2312" w:hAnsi="楷体_GB2312" w:eastAsia="楷体_GB2312"/>
          <w:b/>
          <w:color w:val="auto"/>
          <w:sz w:val="32"/>
          <w:highlight w:val="none"/>
          <w:lang w:val="en-US" w:eastAsia="zh-CN"/>
        </w:rPr>
        <w:t>资金管理情况分析</w:t>
      </w:r>
    </w:p>
    <w:p w14:paraId="6EA7882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36"/>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20</w:t>
      </w:r>
      <w:r>
        <w:rPr>
          <w:rFonts w:hint="eastAsia" w:ascii="仿宋_GB2312" w:hAnsi="仿宋_GB2312" w:eastAsia="仿宋_GB2312"/>
          <w:color w:val="auto"/>
          <w:sz w:val="32"/>
          <w:szCs w:val="32"/>
          <w:highlight w:val="none"/>
          <w:lang w:val="en-US" w:eastAsia="zh-CN"/>
        </w:rPr>
        <w:t>24</w:t>
      </w:r>
      <w:r>
        <w:rPr>
          <w:rFonts w:hint="eastAsia" w:ascii="仿宋_GB2312" w:hAnsi="仿宋_GB2312" w:eastAsia="仿宋_GB2312"/>
          <w:color w:val="auto"/>
          <w:sz w:val="32"/>
          <w:szCs w:val="32"/>
          <w:highlight w:val="none"/>
          <w:lang w:val="zh-CN"/>
        </w:rPr>
        <w:t>年中央财政下达林业发展改革资金</w:t>
      </w:r>
      <w:r>
        <w:rPr>
          <w:rFonts w:hint="eastAsia" w:ascii="仿宋_GB2312" w:hAnsi="仿宋_GB2312" w:eastAsia="仿宋_GB2312"/>
          <w:color w:val="auto"/>
          <w:sz w:val="32"/>
          <w:szCs w:val="32"/>
          <w:highlight w:val="none"/>
          <w:lang w:val="en-US" w:eastAsia="zh-CN"/>
        </w:rPr>
        <w:t>261.69</w:t>
      </w:r>
      <w:r>
        <w:rPr>
          <w:rFonts w:hint="eastAsia" w:ascii="仿宋_GB2312" w:hAnsi="仿宋_GB2312" w:eastAsia="仿宋_GB2312"/>
          <w:color w:val="auto"/>
          <w:sz w:val="32"/>
          <w:szCs w:val="32"/>
          <w:highlight w:val="none"/>
          <w:lang w:val="zh-CN"/>
        </w:rPr>
        <w:t>万元，实际到位</w:t>
      </w:r>
      <w:r>
        <w:rPr>
          <w:rFonts w:hint="eastAsia" w:ascii="仿宋_GB2312" w:hAnsi="仿宋_GB2312" w:eastAsia="仿宋_GB2312"/>
          <w:color w:val="auto"/>
          <w:sz w:val="32"/>
          <w:szCs w:val="32"/>
          <w:highlight w:val="none"/>
          <w:lang w:val="en-US" w:eastAsia="zh-CN"/>
        </w:rPr>
        <w:t>261.69</w:t>
      </w:r>
      <w:r>
        <w:rPr>
          <w:rFonts w:hint="eastAsia" w:ascii="仿宋_GB2312" w:hAnsi="仿宋_GB2312" w:eastAsia="仿宋_GB2312"/>
          <w:color w:val="auto"/>
          <w:sz w:val="32"/>
          <w:szCs w:val="32"/>
          <w:highlight w:val="none"/>
          <w:lang w:val="zh-CN"/>
        </w:rPr>
        <w:t>万元，实际支出</w:t>
      </w:r>
      <w:r>
        <w:rPr>
          <w:rFonts w:hint="eastAsia" w:ascii="仿宋_GB2312" w:hAnsi="仿宋_GB2312" w:eastAsia="仿宋_GB2312"/>
          <w:color w:val="auto"/>
          <w:sz w:val="32"/>
          <w:szCs w:val="32"/>
          <w:highlight w:val="none"/>
          <w:lang w:val="en-US" w:eastAsia="zh-CN"/>
        </w:rPr>
        <w:t>123.38</w:t>
      </w:r>
      <w:r>
        <w:rPr>
          <w:rFonts w:hint="eastAsia" w:ascii="仿宋_GB2312" w:hAnsi="仿宋_GB2312" w:eastAsia="仿宋_GB2312"/>
          <w:color w:val="auto"/>
          <w:sz w:val="32"/>
          <w:szCs w:val="32"/>
          <w:highlight w:val="none"/>
          <w:lang w:val="zh-CN"/>
        </w:rPr>
        <w:t>万元，执行率</w:t>
      </w:r>
      <w:r>
        <w:rPr>
          <w:rFonts w:hint="eastAsia" w:ascii="仿宋_GB2312" w:hAnsi="仿宋_GB2312" w:eastAsia="仿宋_GB2312"/>
          <w:color w:val="auto"/>
          <w:sz w:val="32"/>
          <w:szCs w:val="32"/>
          <w:highlight w:val="none"/>
          <w:lang w:val="en-US" w:eastAsia="zh-CN"/>
        </w:rPr>
        <w:t>47.15</w:t>
      </w:r>
      <w:r>
        <w:rPr>
          <w:rFonts w:hint="eastAsia" w:ascii="仿宋_GB2312" w:hAnsi="仿宋_GB2312" w:eastAsia="仿宋_GB2312"/>
          <w:color w:val="auto"/>
          <w:sz w:val="32"/>
          <w:szCs w:val="32"/>
          <w:highlight w:val="none"/>
          <w:lang w:val="zh-CN"/>
        </w:rPr>
        <w:t>%。其中：</w:t>
      </w:r>
    </w:p>
    <w:p w14:paraId="17E72C28">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森林防火补助安排下达</w:t>
      </w:r>
      <w:r>
        <w:rPr>
          <w:rFonts w:hint="eastAsia" w:ascii="仿宋_GB2312" w:hAnsi="仿宋_GB2312" w:eastAsia="仿宋_GB2312"/>
          <w:color w:val="auto"/>
          <w:sz w:val="32"/>
          <w:szCs w:val="32"/>
          <w:highlight w:val="none"/>
          <w:lang w:val="en-US" w:eastAsia="zh-CN"/>
        </w:rPr>
        <w:t>20</w:t>
      </w:r>
      <w:r>
        <w:rPr>
          <w:rFonts w:hint="eastAsia" w:ascii="仿宋_GB2312" w:hAnsi="仿宋_GB2312" w:eastAsia="仿宋_GB2312"/>
          <w:color w:val="auto"/>
          <w:sz w:val="32"/>
          <w:szCs w:val="32"/>
          <w:highlight w:val="none"/>
          <w:lang w:val="zh-CN"/>
        </w:rPr>
        <w:t>万元，实际到位</w:t>
      </w:r>
      <w:r>
        <w:rPr>
          <w:rFonts w:hint="eastAsia" w:ascii="仿宋_GB2312" w:hAnsi="仿宋_GB2312" w:eastAsia="仿宋_GB2312"/>
          <w:color w:val="auto"/>
          <w:sz w:val="32"/>
          <w:szCs w:val="32"/>
          <w:highlight w:val="none"/>
          <w:lang w:val="en-US" w:eastAsia="zh-CN"/>
        </w:rPr>
        <w:t>20</w:t>
      </w:r>
      <w:r>
        <w:rPr>
          <w:rFonts w:hint="eastAsia" w:ascii="仿宋_GB2312" w:hAnsi="仿宋_GB2312" w:eastAsia="仿宋_GB2312"/>
          <w:color w:val="auto"/>
          <w:sz w:val="32"/>
          <w:szCs w:val="32"/>
          <w:highlight w:val="none"/>
          <w:lang w:val="zh-CN"/>
        </w:rPr>
        <w:t>万元，实际支出</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万元，执行率</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w:t>
      </w:r>
    </w:p>
    <w:p w14:paraId="4949BBAB">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林业有害生物防治补助安排下达</w:t>
      </w:r>
      <w:r>
        <w:rPr>
          <w:rFonts w:hint="eastAsia" w:ascii="仿宋_GB2312" w:hAnsi="仿宋_GB2312" w:eastAsia="仿宋_GB2312"/>
          <w:color w:val="auto"/>
          <w:sz w:val="32"/>
          <w:szCs w:val="32"/>
          <w:highlight w:val="none"/>
          <w:lang w:val="en-US" w:eastAsia="zh-CN"/>
        </w:rPr>
        <w:t>142.59</w:t>
      </w:r>
      <w:r>
        <w:rPr>
          <w:rFonts w:hint="eastAsia" w:ascii="仿宋_GB2312" w:hAnsi="仿宋_GB2312" w:eastAsia="仿宋_GB2312"/>
          <w:color w:val="auto"/>
          <w:sz w:val="32"/>
          <w:szCs w:val="32"/>
          <w:highlight w:val="none"/>
          <w:lang w:val="zh-CN"/>
        </w:rPr>
        <w:t>万元，实际到位</w:t>
      </w:r>
      <w:r>
        <w:rPr>
          <w:rFonts w:hint="eastAsia" w:ascii="仿宋_GB2312" w:hAnsi="仿宋_GB2312" w:eastAsia="仿宋_GB2312"/>
          <w:color w:val="auto"/>
          <w:sz w:val="32"/>
          <w:szCs w:val="32"/>
          <w:highlight w:val="none"/>
          <w:lang w:val="en-US" w:eastAsia="zh-CN"/>
        </w:rPr>
        <w:t>142.59</w:t>
      </w:r>
      <w:r>
        <w:rPr>
          <w:rFonts w:hint="eastAsia" w:ascii="仿宋_GB2312" w:hAnsi="仿宋_GB2312" w:eastAsia="仿宋_GB2312"/>
          <w:color w:val="auto"/>
          <w:sz w:val="32"/>
          <w:szCs w:val="32"/>
          <w:highlight w:val="none"/>
          <w:lang w:val="zh-CN"/>
        </w:rPr>
        <w:t>万元，实际支出</w:t>
      </w:r>
      <w:r>
        <w:rPr>
          <w:rFonts w:hint="eastAsia" w:ascii="仿宋_GB2312" w:hAnsi="仿宋_GB2312" w:eastAsia="仿宋_GB2312"/>
          <w:color w:val="auto"/>
          <w:sz w:val="32"/>
          <w:szCs w:val="32"/>
          <w:highlight w:val="none"/>
          <w:lang w:val="en-US" w:eastAsia="zh-CN"/>
        </w:rPr>
        <w:t>123.38</w:t>
      </w:r>
      <w:r>
        <w:rPr>
          <w:rFonts w:hint="eastAsia" w:ascii="仿宋_GB2312" w:hAnsi="仿宋_GB2312" w:eastAsia="仿宋_GB2312"/>
          <w:color w:val="auto"/>
          <w:sz w:val="32"/>
          <w:szCs w:val="32"/>
          <w:highlight w:val="none"/>
          <w:lang w:val="zh-CN"/>
        </w:rPr>
        <w:t>万元，执行率</w:t>
      </w:r>
      <w:r>
        <w:rPr>
          <w:rFonts w:hint="eastAsia" w:ascii="仿宋_GB2312" w:hAnsi="仿宋_GB2312" w:eastAsia="仿宋_GB2312"/>
          <w:color w:val="auto"/>
          <w:sz w:val="32"/>
          <w:szCs w:val="32"/>
          <w:highlight w:val="none"/>
          <w:lang w:val="en-US" w:eastAsia="zh-CN"/>
        </w:rPr>
        <w:t>86.53</w:t>
      </w:r>
      <w:r>
        <w:rPr>
          <w:rFonts w:hint="eastAsia" w:ascii="仿宋_GB2312" w:hAnsi="仿宋_GB2312" w:eastAsia="仿宋_GB2312"/>
          <w:color w:val="auto"/>
          <w:sz w:val="32"/>
          <w:szCs w:val="32"/>
          <w:highlight w:val="none"/>
          <w:lang w:val="zh-CN"/>
        </w:rPr>
        <w:t>%。</w:t>
      </w:r>
    </w:p>
    <w:p w14:paraId="7D4DF9AC">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default" w:ascii="Calibri" w:hAnsi="Calibri" w:eastAsia="Calibri"/>
          <w:color w:val="auto"/>
          <w:sz w:val="32"/>
          <w:szCs w:val="32"/>
          <w:highlight w:val="none"/>
          <w:lang w:val="en-US"/>
        </w:rPr>
      </w:pPr>
      <w:r>
        <w:rPr>
          <w:rFonts w:hint="eastAsia" w:ascii="仿宋_GB2312" w:hAnsi="仿宋_GB2312" w:eastAsia="仿宋_GB2312"/>
          <w:color w:val="auto"/>
          <w:sz w:val="32"/>
          <w:szCs w:val="32"/>
          <w:highlight w:val="none"/>
          <w:lang w:val="zh-CN"/>
        </w:rPr>
        <w:t>林草科技推广示范补助安排下达</w:t>
      </w:r>
      <w:r>
        <w:rPr>
          <w:rFonts w:hint="eastAsia" w:ascii="仿宋_GB2312" w:hAnsi="仿宋_GB2312" w:eastAsia="仿宋_GB2312"/>
          <w:color w:val="auto"/>
          <w:sz w:val="32"/>
          <w:szCs w:val="32"/>
          <w:highlight w:val="none"/>
          <w:lang w:val="en-US" w:eastAsia="zh-CN"/>
        </w:rPr>
        <w:t>82</w:t>
      </w:r>
      <w:r>
        <w:rPr>
          <w:rFonts w:hint="eastAsia" w:ascii="仿宋_GB2312" w:hAnsi="仿宋_GB2312" w:eastAsia="仿宋_GB2312"/>
          <w:color w:val="auto"/>
          <w:sz w:val="32"/>
          <w:szCs w:val="32"/>
          <w:highlight w:val="none"/>
          <w:lang w:val="zh-CN"/>
        </w:rPr>
        <w:t>万元，实际到位</w:t>
      </w:r>
      <w:r>
        <w:rPr>
          <w:rFonts w:hint="eastAsia" w:ascii="仿宋_GB2312" w:hAnsi="仿宋_GB2312" w:eastAsia="仿宋_GB2312"/>
          <w:color w:val="auto"/>
          <w:sz w:val="32"/>
          <w:szCs w:val="32"/>
          <w:highlight w:val="none"/>
          <w:lang w:val="en-US" w:eastAsia="zh-CN"/>
        </w:rPr>
        <w:t>82</w:t>
      </w:r>
      <w:r>
        <w:rPr>
          <w:rFonts w:hint="eastAsia" w:ascii="仿宋_GB2312" w:hAnsi="仿宋_GB2312" w:eastAsia="仿宋_GB2312"/>
          <w:color w:val="auto"/>
          <w:sz w:val="32"/>
          <w:szCs w:val="32"/>
          <w:highlight w:val="none"/>
          <w:lang w:val="zh-CN"/>
        </w:rPr>
        <w:t>万元，实际支出</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万元，执行率</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w:t>
      </w:r>
    </w:p>
    <w:p w14:paraId="0FDCFBFE">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林草湿荒综合监测资金安排下达</w:t>
      </w:r>
      <w:r>
        <w:rPr>
          <w:rFonts w:hint="eastAsia" w:ascii="仿宋_GB2312" w:hAnsi="仿宋_GB2312" w:eastAsia="仿宋_GB2312"/>
          <w:color w:val="auto"/>
          <w:sz w:val="32"/>
          <w:szCs w:val="32"/>
          <w:highlight w:val="none"/>
          <w:lang w:val="en-US" w:eastAsia="zh-CN"/>
        </w:rPr>
        <w:t>17.1</w:t>
      </w:r>
      <w:r>
        <w:rPr>
          <w:rFonts w:hint="eastAsia" w:ascii="仿宋_GB2312" w:hAnsi="仿宋_GB2312" w:eastAsia="仿宋_GB2312"/>
          <w:color w:val="auto"/>
          <w:sz w:val="32"/>
          <w:szCs w:val="32"/>
          <w:highlight w:val="none"/>
          <w:lang w:val="zh-CN"/>
        </w:rPr>
        <w:t>万元，实际到位</w:t>
      </w:r>
      <w:r>
        <w:rPr>
          <w:rFonts w:hint="eastAsia" w:ascii="仿宋_GB2312" w:hAnsi="仿宋_GB2312" w:eastAsia="仿宋_GB2312"/>
          <w:color w:val="auto"/>
          <w:sz w:val="32"/>
          <w:szCs w:val="32"/>
          <w:highlight w:val="none"/>
          <w:lang w:val="en-US" w:eastAsia="zh-CN"/>
        </w:rPr>
        <w:t>17.1</w:t>
      </w:r>
      <w:r>
        <w:rPr>
          <w:rFonts w:hint="eastAsia" w:ascii="仿宋_GB2312" w:hAnsi="仿宋_GB2312" w:eastAsia="仿宋_GB2312"/>
          <w:color w:val="auto"/>
          <w:sz w:val="32"/>
          <w:szCs w:val="32"/>
          <w:highlight w:val="none"/>
          <w:lang w:val="zh-CN"/>
        </w:rPr>
        <w:t>万元，实际支出</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万元，执行率</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lang w:val="zh-CN"/>
        </w:rPr>
        <w:t>%。</w:t>
      </w:r>
    </w:p>
    <w:p w14:paraId="0C800999">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3"/>
        <w:jc w:val="both"/>
        <w:textAlignment w:val="auto"/>
        <w:outlineLvl w:val="9"/>
        <w:rPr>
          <w:rFonts w:hint="eastAsia" w:ascii="仿宋_GB2312" w:hAnsi="仿宋_GB2312" w:eastAsia="仿宋_GB2312"/>
          <w:color w:val="auto"/>
          <w:sz w:val="32"/>
          <w:szCs w:val="32"/>
          <w:highlight w:val="none"/>
          <w:lang w:val="zh-CN"/>
        </w:rPr>
      </w:pPr>
      <w:r>
        <w:rPr>
          <w:rFonts w:hint="eastAsia" w:ascii="楷体_GB2312" w:hAnsi="楷体_GB2312" w:eastAsia="楷体_GB2312"/>
          <w:b/>
          <w:color w:val="auto"/>
          <w:sz w:val="32"/>
          <w:szCs w:val="32"/>
          <w:highlight w:val="none"/>
          <w:lang w:val="zh-CN"/>
        </w:rPr>
        <w:t>(三)总体绩效目标完成情况分析。</w:t>
      </w:r>
    </w:p>
    <w:p w14:paraId="20C6248C">
      <w:pPr>
        <w:autoSpaceDE w:val="0"/>
        <w:autoSpaceDN w:val="0"/>
        <w:spacing w:line="540" w:lineRule="exact"/>
        <w:ind w:firstLine="600"/>
        <w:rPr>
          <w:rFonts w:hint="eastAsia" w:ascii="仿宋_GB2312" w:hAnsi="仿宋_GB2312" w:eastAsia="仿宋"/>
          <w:color w:val="auto"/>
          <w:sz w:val="32"/>
          <w:szCs w:val="32"/>
          <w:highlight w:val="none"/>
          <w:lang w:val="zh-CN" w:eastAsia="zh-CN"/>
        </w:rPr>
      </w:pPr>
      <w:r>
        <w:rPr>
          <w:rFonts w:hint="eastAsia" w:ascii="仿宋_GB2312" w:hAnsi="仿宋_GB2312" w:eastAsia="仿宋_GB2312"/>
          <w:color w:val="auto"/>
          <w:sz w:val="32"/>
          <w:szCs w:val="32"/>
          <w:highlight w:val="none"/>
          <w:lang w:val="zh-CN"/>
        </w:rPr>
        <w:t>根据上级下达要求，项目总体目标：松材线虫病防治面积</w:t>
      </w:r>
      <w:r>
        <w:rPr>
          <w:rFonts w:hint="eastAsia" w:ascii="仿宋_GB2312" w:hAnsi="仿宋_GB2312" w:eastAsia="仿宋_GB2312"/>
          <w:color w:val="auto"/>
          <w:sz w:val="32"/>
          <w:szCs w:val="32"/>
          <w:highlight w:val="none"/>
          <w:lang w:val="en-US" w:eastAsia="zh-CN"/>
        </w:rPr>
        <w:t>0.8万</w:t>
      </w:r>
      <w:r>
        <w:rPr>
          <w:rFonts w:hint="eastAsia" w:ascii="仿宋_GB2312" w:hAnsi="仿宋_GB2312" w:eastAsia="仿宋_GB2312"/>
          <w:color w:val="auto"/>
          <w:sz w:val="32"/>
          <w:szCs w:val="32"/>
          <w:highlight w:val="none"/>
          <w:lang w:val="zh-CN"/>
        </w:rPr>
        <w:t>亩，美国白蛾等其他重大林业有害生物防治面积数量1</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06万次，松材线虫病防控目标任务完成率（同林长制考核细则）达到</w:t>
      </w:r>
      <w:r>
        <w:rPr>
          <w:rFonts w:hint="eastAsia" w:ascii="仿宋_GB2312" w:hAnsi="仿宋_GB2312" w:eastAsia="仿宋_GB2312"/>
          <w:color w:val="auto"/>
          <w:sz w:val="32"/>
          <w:szCs w:val="32"/>
          <w:highlight w:val="none"/>
          <w:lang w:val="en-US" w:eastAsia="zh-CN"/>
        </w:rPr>
        <w:t>7</w:t>
      </w:r>
      <w:r>
        <w:rPr>
          <w:rFonts w:hint="eastAsia" w:ascii="仿宋_GB2312" w:hAnsi="仿宋_GB2312" w:eastAsia="仿宋_GB2312"/>
          <w:color w:val="auto"/>
          <w:sz w:val="32"/>
          <w:szCs w:val="32"/>
          <w:highlight w:val="none"/>
          <w:lang w:val="zh-CN"/>
        </w:rPr>
        <w:t>0%，林业有害生物无公害防治成效明显</w:t>
      </w:r>
      <w:r>
        <w:rPr>
          <w:rFonts w:hint="eastAsia" w:ascii="仿宋_GB2312" w:hAnsi="仿宋_GB2312" w:eastAsia="仿宋_GB2312"/>
          <w:color w:val="auto"/>
          <w:sz w:val="32"/>
          <w:szCs w:val="32"/>
          <w:highlight w:val="none"/>
          <w:lang w:val="en-US" w:eastAsia="zh-CN"/>
        </w:rPr>
        <w:t>,</w:t>
      </w:r>
      <w:r>
        <w:rPr>
          <w:rFonts w:hint="eastAsia" w:ascii="仿宋" w:hAnsi="仿宋" w:eastAsia="仿宋"/>
          <w:color w:val="auto"/>
          <w:sz w:val="32"/>
          <w:highlight w:val="none"/>
          <w:lang w:val="zh-CN"/>
        </w:rPr>
        <w:t>林草科技推广项目数量</w:t>
      </w: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lang w:val="zh-CN"/>
        </w:rPr>
        <w:t>个</w:t>
      </w:r>
      <w:r>
        <w:rPr>
          <w:rFonts w:hint="eastAsia" w:ascii="仿宋" w:hAnsi="仿宋" w:eastAsia="仿宋"/>
          <w:color w:val="auto"/>
          <w:sz w:val="32"/>
          <w:highlight w:val="none"/>
          <w:lang w:val="zh-CN"/>
        </w:rPr>
        <w:t>，全国性林草湿荒综合监测项目图斑监测数量</w:t>
      </w:r>
      <w:r>
        <w:rPr>
          <w:rFonts w:hint="eastAsia" w:ascii="仿宋" w:hAnsi="仿宋" w:eastAsia="仿宋"/>
          <w:color w:val="auto"/>
          <w:sz w:val="32"/>
          <w:highlight w:val="none"/>
          <w:lang w:val="en-US" w:eastAsia="zh-CN"/>
        </w:rPr>
        <w:t>436个，</w:t>
      </w:r>
      <w:r>
        <w:rPr>
          <w:rFonts w:hint="eastAsia" w:ascii="仿宋" w:hAnsi="仿宋" w:eastAsia="仿宋"/>
          <w:color w:val="auto"/>
          <w:sz w:val="32"/>
          <w:highlight w:val="none"/>
        </w:rPr>
        <w:t>森林火灾受害率低于0.9‰</w:t>
      </w:r>
      <w:r>
        <w:rPr>
          <w:rFonts w:hint="eastAsia" w:ascii="仿宋" w:hAnsi="仿宋" w:eastAsia="仿宋"/>
          <w:color w:val="auto"/>
          <w:sz w:val="32"/>
          <w:highlight w:val="none"/>
          <w:lang w:eastAsia="zh-CN"/>
        </w:rPr>
        <w:t>，</w:t>
      </w:r>
      <w:r>
        <w:rPr>
          <w:rFonts w:hint="eastAsia" w:ascii="仿宋" w:hAnsi="仿宋" w:eastAsia="仿宋" w:cs="仿宋"/>
          <w:color w:val="auto"/>
          <w:sz w:val="32"/>
          <w:szCs w:val="32"/>
          <w:highlight w:val="none"/>
          <w:lang w:val="en-US" w:eastAsia="zh-CN"/>
        </w:rPr>
        <w:t>湿地生态系统生态效益发挥明显。</w:t>
      </w:r>
    </w:p>
    <w:p w14:paraId="25B0115B">
      <w:pPr>
        <w:autoSpaceDE w:val="0"/>
        <w:autoSpaceDN w:val="0"/>
        <w:spacing w:line="540" w:lineRule="exact"/>
        <w:ind w:firstLine="600"/>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实际完成情况：松材线虫病防治面积</w:t>
      </w:r>
      <w:r>
        <w:rPr>
          <w:rFonts w:hint="eastAsia" w:ascii="仿宋_GB2312" w:hAnsi="仿宋_GB2312" w:eastAsia="仿宋_GB2312"/>
          <w:color w:val="auto"/>
          <w:sz w:val="32"/>
          <w:szCs w:val="32"/>
          <w:highlight w:val="none"/>
          <w:lang w:val="en-US" w:eastAsia="zh-CN"/>
        </w:rPr>
        <w:t>0.809万</w:t>
      </w:r>
      <w:r>
        <w:rPr>
          <w:rFonts w:hint="eastAsia" w:ascii="仿宋_GB2312" w:hAnsi="仿宋_GB2312" w:eastAsia="仿宋_GB2312"/>
          <w:color w:val="auto"/>
          <w:sz w:val="32"/>
          <w:szCs w:val="32"/>
          <w:highlight w:val="none"/>
          <w:lang w:val="zh-CN"/>
        </w:rPr>
        <w:t>亩，美国白蛾等其他重大林业有害生物防治面积数量1</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lang w:val="zh-CN"/>
        </w:rPr>
        <w:t>06万亩次，松材线虫病防控目标任务完成率（同林长制考核细则）达到</w:t>
      </w:r>
      <w:r>
        <w:rPr>
          <w:rFonts w:hint="eastAsia" w:ascii="仿宋_GB2312" w:hAnsi="仿宋_GB2312" w:eastAsia="仿宋_GB2312"/>
          <w:color w:val="auto"/>
          <w:sz w:val="32"/>
          <w:szCs w:val="32"/>
          <w:highlight w:val="none"/>
          <w:lang w:val="en-US" w:eastAsia="zh-CN"/>
        </w:rPr>
        <w:t>7</w:t>
      </w:r>
      <w:r>
        <w:rPr>
          <w:rFonts w:hint="eastAsia" w:ascii="仿宋_GB2312" w:hAnsi="仿宋_GB2312" w:eastAsia="仿宋_GB2312"/>
          <w:color w:val="auto"/>
          <w:sz w:val="32"/>
          <w:szCs w:val="32"/>
          <w:highlight w:val="none"/>
          <w:lang w:val="zh-CN"/>
        </w:rPr>
        <w:t>0%，林业有害生物无公害防治成效明显</w:t>
      </w:r>
      <w:r>
        <w:rPr>
          <w:rFonts w:hint="eastAsia" w:ascii="仿宋_GB2312" w:hAnsi="仿宋_GB2312" w:eastAsia="仿宋_GB2312"/>
          <w:color w:val="auto"/>
          <w:sz w:val="32"/>
          <w:szCs w:val="32"/>
          <w:highlight w:val="none"/>
          <w:lang w:val="en-US" w:eastAsia="zh-CN"/>
        </w:rPr>
        <w:t>,</w:t>
      </w:r>
      <w:r>
        <w:rPr>
          <w:rFonts w:hint="eastAsia" w:ascii="仿宋" w:hAnsi="仿宋" w:eastAsia="仿宋"/>
          <w:color w:val="auto"/>
          <w:sz w:val="32"/>
          <w:highlight w:val="none"/>
          <w:lang w:val="zh-CN"/>
        </w:rPr>
        <w:t>林草科技推广项目数量</w:t>
      </w: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lang w:val="zh-CN"/>
        </w:rPr>
        <w:t>个</w:t>
      </w:r>
      <w:r>
        <w:rPr>
          <w:rFonts w:hint="eastAsia" w:ascii="仿宋" w:hAnsi="仿宋" w:eastAsia="仿宋"/>
          <w:color w:val="auto"/>
          <w:sz w:val="32"/>
          <w:highlight w:val="none"/>
          <w:lang w:val="zh-CN"/>
        </w:rPr>
        <w:t>，全国性林草湿荒综合监测项目图斑监测数量</w:t>
      </w:r>
      <w:r>
        <w:rPr>
          <w:rFonts w:hint="eastAsia" w:ascii="仿宋" w:hAnsi="仿宋" w:eastAsia="仿宋"/>
          <w:color w:val="auto"/>
          <w:sz w:val="32"/>
          <w:highlight w:val="none"/>
          <w:lang w:val="en-US" w:eastAsia="zh-CN"/>
        </w:rPr>
        <w:t>436个，</w:t>
      </w:r>
      <w:r>
        <w:rPr>
          <w:rFonts w:hint="eastAsia" w:ascii="仿宋_GB2312" w:hAnsi="仿宋_GB2312" w:eastAsia="仿宋_GB2312"/>
          <w:color w:val="auto"/>
          <w:sz w:val="32"/>
          <w:szCs w:val="32"/>
          <w:highlight w:val="none"/>
          <w:lang w:val="zh-CN"/>
        </w:rPr>
        <w:t>森林火灾受害率0‰</w:t>
      </w:r>
      <w:r>
        <w:rPr>
          <w:rFonts w:hint="eastAsia" w:ascii="仿宋" w:hAnsi="仿宋" w:eastAsia="仿宋"/>
          <w:color w:val="auto"/>
          <w:sz w:val="32"/>
          <w:highlight w:val="none"/>
          <w:lang w:eastAsia="zh-CN"/>
        </w:rPr>
        <w:t>，</w:t>
      </w:r>
      <w:r>
        <w:rPr>
          <w:rFonts w:hint="eastAsia" w:ascii="仿宋" w:hAnsi="仿宋" w:eastAsia="仿宋" w:cs="仿宋"/>
          <w:color w:val="auto"/>
          <w:sz w:val="32"/>
          <w:szCs w:val="32"/>
          <w:highlight w:val="none"/>
          <w:lang w:val="en-US" w:eastAsia="zh-CN"/>
        </w:rPr>
        <w:t>湿地生态系统生态效益发挥明显。</w:t>
      </w:r>
    </w:p>
    <w:p w14:paraId="691B50E6">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楷体_GB2312" w:hAnsi="楷体_GB2312" w:eastAsia="楷体_GB2312"/>
          <w:b/>
          <w:color w:val="auto"/>
          <w:sz w:val="32"/>
          <w:szCs w:val="32"/>
          <w:highlight w:val="none"/>
          <w:lang w:val="zh-CN"/>
        </w:rPr>
        <w:t>(四)绩效指标完成情况分析</w:t>
      </w:r>
    </w:p>
    <w:p w14:paraId="7E4F9FCB">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林业改革发展资金专项共涉及</w:t>
      </w:r>
      <w:r>
        <w:rPr>
          <w:rFonts w:hint="eastAsia" w:ascii="仿宋_GB2312" w:hAnsi="仿宋_GB2312" w:eastAsia="仿宋_GB2312"/>
          <w:color w:val="auto"/>
          <w:sz w:val="32"/>
          <w:szCs w:val="32"/>
          <w:highlight w:val="none"/>
          <w:lang w:val="en-US" w:eastAsia="zh-CN"/>
        </w:rPr>
        <w:t>9</w:t>
      </w:r>
      <w:r>
        <w:rPr>
          <w:rFonts w:hint="eastAsia" w:ascii="仿宋_GB2312" w:hAnsi="仿宋_GB2312" w:eastAsia="仿宋_GB2312"/>
          <w:color w:val="auto"/>
          <w:sz w:val="32"/>
          <w:szCs w:val="32"/>
          <w:highlight w:val="none"/>
          <w:lang w:val="zh-CN"/>
        </w:rPr>
        <w:t>个三级指标，完成</w:t>
      </w:r>
      <w:r>
        <w:rPr>
          <w:rFonts w:hint="eastAsia" w:ascii="仿宋_GB2312" w:hAnsi="仿宋_GB2312" w:eastAsia="仿宋_GB2312"/>
          <w:color w:val="auto"/>
          <w:sz w:val="32"/>
          <w:szCs w:val="32"/>
          <w:highlight w:val="none"/>
          <w:lang w:val="en-US" w:eastAsia="zh-CN"/>
        </w:rPr>
        <w:t>9</w:t>
      </w:r>
      <w:r>
        <w:rPr>
          <w:rFonts w:hint="eastAsia" w:ascii="仿宋_GB2312" w:hAnsi="仿宋_GB2312" w:eastAsia="仿宋_GB2312"/>
          <w:color w:val="auto"/>
          <w:sz w:val="32"/>
          <w:szCs w:val="32"/>
          <w:highlight w:val="none"/>
          <w:lang w:val="zh-CN"/>
        </w:rPr>
        <w:t>个，自评结果为优秀。</w:t>
      </w:r>
    </w:p>
    <w:p w14:paraId="4A050652">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00"/>
        <w:textAlignment w:val="auto"/>
        <w:outlineLvl w:val="9"/>
        <w:rPr>
          <w:rFonts w:hint="eastAsia" w:ascii="仿宋" w:hAnsi="仿宋" w:eastAsia="仿宋"/>
          <w:b/>
          <w:bCs/>
          <w:color w:val="auto"/>
          <w:sz w:val="32"/>
          <w:highlight w:val="none"/>
          <w:lang w:val="zh-CN"/>
        </w:rPr>
      </w:pPr>
      <w:r>
        <w:rPr>
          <w:rFonts w:hint="eastAsia" w:ascii="仿宋" w:hAnsi="仿宋" w:eastAsia="仿宋"/>
          <w:b/>
          <w:bCs/>
          <w:color w:val="auto"/>
          <w:sz w:val="32"/>
          <w:highlight w:val="none"/>
          <w:lang w:val="zh-CN"/>
        </w:rPr>
        <w:t>数量指标：</w:t>
      </w:r>
    </w:p>
    <w:p w14:paraId="3D45A7C2">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40" w:lineRule="exact"/>
        <w:ind w:right="0" w:rightChars="0" w:firstLine="640" w:firstLineChars="200"/>
        <w:jc w:val="both"/>
        <w:textAlignment w:val="auto"/>
        <w:outlineLvl w:val="9"/>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(1)</w:t>
      </w:r>
      <w:r>
        <w:rPr>
          <w:rFonts w:hint="eastAsia" w:ascii="仿宋_GB2312" w:hAnsi="仿宋_GB2312" w:eastAsia="仿宋_GB2312"/>
          <w:color w:val="auto"/>
          <w:sz w:val="32"/>
          <w:szCs w:val="32"/>
          <w:highlight w:val="none"/>
          <w:lang w:val="zh-CN"/>
        </w:rPr>
        <w:t>松材线虫病防治面积年度指标值</w:t>
      </w:r>
      <w:r>
        <w:rPr>
          <w:rFonts w:hint="eastAsia" w:ascii="仿宋_GB2312" w:hAnsi="仿宋_GB2312" w:eastAsia="仿宋_GB2312"/>
          <w:color w:val="auto"/>
          <w:sz w:val="32"/>
          <w:szCs w:val="32"/>
          <w:highlight w:val="none"/>
          <w:lang w:val="en-US" w:eastAsia="zh-CN"/>
        </w:rPr>
        <w:t>0.8万亩，全年</w:t>
      </w:r>
      <w:r>
        <w:rPr>
          <w:rFonts w:hint="eastAsia" w:ascii="仿宋_GB2312" w:hAnsi="仿宋_GB2312" w:eastAsia="仿宋_GB2312"/>
          <w:color w:val="auto"/>
          <w:sz w:val="32"/>
          <w:szCs w:val="32"/>
          <w:highlight w:val="none"/>
          <w:lang w:val="zh-CN"/>
        </w:rPr>
        <w:t>实际完成值</w:t>
      </w:r>
      <w:r>
        <w:rPr>
          <w:rFonts w:hint="eastAsia" w:ascii="仿宋_GB2312" w:hAnsi="仿宋_GB2312" w:eastAsia="仿宋_GB2312"/>
          <w:color w:val="auto"/>
          <w:sz w:val="32"/>
          <w:szCs w:val="32"/>
          <w:highlight w:val="none"/>
          <w:lang w:val="en-US" w:eastAsia="zh-CN"/>
        </w:rPr>
        <w:t>0.809万亩。</w:t>
      </w:r>
    </w:p>
    <w:p w14:paraId="266C9A12">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40" w:lineRule="exact"/>
        <w:ind w:right="0" w:rightChars="0" w:firstLine="640" w:firstLineChars="200"/>
        <w:jc w:val="both"/>
        <w:textAlignment w:val="auto"/>
        <w:outlineLvl w:val="9"/>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(2)其他重大林业有害生物防治任务作业面积年度指标1.06万亩次，全年实际完成1.06万亩次。</w:t>
      </w:r>
    </w:p>
    <w:p w14:paraId="16290822">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40" w:lineRule="exact"/>
        <w:ind w:right="0" w:rightChars="0" w:firstLine="640" w:firstLineChars="20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en-US" w:eastAsia="zh-CN"/>
        </w:rPr>
        <w:t>(3)</w:t>
      </w:r>
      <w:r>
        <w:rPr>
          <w:rFonts w:hint="eastAsia" w:ascii="仿宋" w:hAnsi="仿宋" w:eastAsia="仿宋" w:cs="仿宋"/>
          <w:strike w:val="0"/>
          <w:dstrike w:val="0"/>
          <w:color w:val="auto"/>
          <w:sz w:val="32"/>
          <w:szCs w:val="32"/>
          <w:highlight w:val="none"/>
          <w:lang w:val="en-US" w:eastAsia="zh-CN"/>
        </w:rPr>
        <w:t>林草科技推广项目数量</w:t>
      </w:r>
      <w:r>
        <w:rPr>
          <w:rFonts w:hint="eastAsia" w:ascii="仿宋" w:hAnsi="仿宋" w:eastAsia="仿宋"/>
          <w:strike w:val="0"/>
          <w:dstrike w:val="0"/>
          <w:color w:val="auto"/>
          <w:sz w:val="32"/>
          <w:highlight w:val="none"/>
          <w:lang w:val="zh-CN"/>
        </w:rPr>
        <w:t>年度指标值</w:t>
      </w:r>
      <w:r>
        <w:rPr>
          <w:rFonts w:hint="eastAsia" w:ascii="仿宋" w:hAnsi="仿宋" w:eastAsia="仿宋"/>
          <w:strike w:val="0"/>
          <w:dstrike w:val="0"/>
          <w:color w:val="auto"/>
          <w:sz w:val="32"/>
          <w:highlight w:val="none"/>
          <w:lang w:val="en-US" w:eastAsia="zh-CN"/>
        </w:rPr>
        <w:t>1个，</w:t>
      </w:r>
      <w:r>
        <w:rPr>
          <w:rFonts w:hint="eastAsia" w:ascii="仿宋" w:hAnsi="仿宋" w:eastAsia="仿宋"/>
          <w:strike w:val="0"/>
          <w:dstrike w:val="0"/>
          <w:color w:val="auto"/>
          <w:sz w:val="32"/>
          <w:highlight w:val="none"/>
          <w:lang w:val="zh-CN"/>
        </w:rPr>
        <w:t>全年实际完成值</w:t>
      </w:r>
      <w:r>
        <w:rPr>
          <w:rFonts w:hint="eastAsia" w:ascii="仿宋" w:hAnsi="仿宋" w:eastAsia="仿宋"/>
          <w:strike w:val="0"/>
          <w:dstrike w:val="0"/>
          <w:color w:val="auto"/>
          <w:sz w:val="32"/>
          <w:highlight w:val="none"/>
          <w:lang w:val="en-US" w:eastAsia="zh-CN"/>
        </w:rPr>
        <w:t>1个。</w:t>
      </w:r>
    </w:p>
    <w:p w14:paraId="5CD892BE">
      <w:pPr>
        <w:pStyle w:val="2"/>
        <w:numPr>
          <w:ilvl w:val="0"/>
          <w:numId w:val="0"/>
        </w:numPr>
        <w:ind w:firstLine="640" w:firstLineChars="200"/>
        <w:rPr>
          <w:rFonts w:hint="eastAsia" w:ascii="仿宋" w:hAnsi="仿宋" w:eastAsia="仿宋"/>
          <w:color w:val="auto"/>
          <w:sz w:val="32"/>
          <w:highlight w:val="none"/>
          <w:lang w:val="en-US" w:eastAsia="zh-CN"/>
        </w:rPr>
      </w:pPr>
      <w:r>
        <w:rPr>
          <w:rFonts w:hint="eastAsia" w:ascii="仿宋" w:hAnsi="仿宋" w:eastAsia="仿宋"/>
          <w:color w:val="auto"/>
          <w:sz w:val="32"/>
          <w:highlight w:val="none"/>
          <w:lang w:val="en-US" w:eastAsia="zh-CN"/>
        </w:rPr>
        <w:t>(4)全国性林草湿荒综合监测项目图斑监测数量</w:t>
      </w:r>
      <w:r>
        <w:rPr>
          <w:rFonts w:hint="eastAsia" w:ascii="仿宋" w:hAnsi="仿宋" w:eastAsia="仿宋"/>
          <w:color w:val="auto"/>
          <w:sz w:val="32"/>
          <w:highlight w:val="none"/>
          <w:lang w:val="zh-CN"/>
        </w:rPr>
        <w:t>年度指标值</w:t>
      </w:r>
      <w:r>
        <w:rPr>
          <w:rFonts w:hint="eastAsia" w:ascii="仿宋" w:hAnsi="仿宋" w:eastAsia="仿宋"/>
          <w:color w:val="auto"/>
          <w:sz w:val="32"/>
          <w:highlight w:val="none"/>
          <w:lang w:val="en-US" w:eastAsia="zh-CN"/>
        </w:rPr>
        <w:t>436个，2024年全年实际完成值436个。</w:t>
      </w:r>
    </w:p>
    <w:p w14:paraId="1FEC25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质量指标：</w:t>
      </w:r>
    </w:p>
    <w:p w14:paraId="047DE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olor w:val="auto"/>
          <w:sz w:val="32"/>
          <w:szCs w:val="32"/>
          <w:highlight w:val="none"/>
          <w:lang w:val="zh-CN"/>
        </w:rPr>
      </w:pPr>
      <w:r>
        <w:rPr>
          <w:rFonts w:hint="eastAsia" w:ascii="仿宋" w:hAnsi="仿宋" w:eastAsia="仿宋" w:cs="仿宋"/>
          <w:color w:val="auto"/>
          <w:sz w:val="32"/>
          <w:szCs w:val="32"/>
          <w:highlight w:val="none"/>
          <w:lang w:val="en-US" w:eastAsia="zh-CN"/>
        </w:rPr>
        <w:t>森林火灾受害率</w:t>
      </w:r>
      <w:r>
        <w:rPr>
          <w:rFonts w:hint="eastAsia" w:ascii="仿宋" w:hAnsi="仿宋" w:eastAsia="仿宋"/>
          <w:color w:val="auto"/>
          <w:sz w:val="32"/>
          <w:highlight w:val="none"/>
          <w:lang w:val="zh-CN"/>
        </w:rPr>
        <w:t>年度指标值</w:t>
      </w:r>
      <w:r>
        <w:rPr>
          <w:rFonts w:hint="eastAsia" w:ascii="仿宋" w:hAnsi="仿宋" w:eastAsia="仿宋"/>
          <w:color w:val="auto"/>
          <w:sz w:val="32"/>
          <w:highlight w:val="none"/>
          <w:lang w:val="en-US" w:eastAsia="zh-CN"/>
        </w:rPr>
        <w:t>低于0.9‰，</w:t>
      </w:r>
      <w:r>
        <w:rPr>
          <w:rFonts w:hint="eastAsia" w:ascii="仿宋" w:hAnsi="仿宋" w:eastAsia="仿宋"/>
          <w:color w:val="auto"/>
          <w:sz w:val="32"/>
          <w:highlight w:val="none"/>
          <w:lang w:val="zh-CN"/>
        </w:rPr>
        <w:t>全年实际完成值</w:t>
      </w:r>
      <w:r>
        <w:rPr>
          <w:rFonts w:hint="eastAsia" w:ascii="仿宋" w:hAnsi="仿宋" w:eastAsia="仿宋"/>
          <w:color w:val="auto"/>
          <w:sz w:val="32"/>
          <w:highlight w:val="none"/>
          <w:lang w:val="en-US" w:eastAsia="zh-CN"/>
        </w:rPr>
        <w:t>0‰。</w:t>
      </w:r>
    </w:p>
    <w:p w14:paraId="7530580C">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zh-CN"/>
        </w:rPr>
        <w:t>松材线虫病防控目标任务完成率(同林长制考核细则)年度指标值≥</w:t>
      </w:r>
      <w:r>
        <w:rPr>
          <w:rFonts w:hint="eastAsia" w:ascii="仿宋_GB2312" w:hAnsi="仿宋_GB2312" w:eastAsia="仿宋_GB2312"/>
          <w:color w:val="auto"/>
          <w:sz w:val="32"/>
          <w:szCs w:val="32"/>
          <w:highlight w:val="none"/>
          <w:lang w:val="en-US" w:eastAsia="zh-CN"/>
        </w:rPr>
        <w:t>70</w:t>
      </w:r>
      <w:r>
        <w:rPr>
          <w:rFonts w:hint="eastAsia" w:ascii="仿宋_GB2312" w:hAnsi="仿宋_GB2312" w:eastAsia="仿宋_GB2312"/>
          <w:color w:val="auto"/>
          <w:sz w:val="32"/>
          <w:szCs w:val="32"/>
          <w:highlight w:val="none"/>
          <w:lang w:val="zh-CN"/>
        </w:rPr>
        <w:t>%，实际松材线虫病防控目标任务完成率为</w:t>
      </w:r>
      <w:r>
        <w:rPr>
          <w:rFonts w:hint="eastAsia" w:ascii="仿宋_GB2312" w:hAnsi="仿宋_GB2312" w:eastAsia="仿宋_GB2312"/>
          <w:color w:val="auto"/>
          <w:sz w:val="32"/>
          <w:szCs w:val="32"/>
          <w:highlight w:val="none"/>
          <w:lang w:val="en-US" w:eastAsia="zh-CN"/>
        </w:rPr>
        <w:t>70%。</w:t>
      </w:r>
    </w:p>
    <w:p w14:paraId="35203615">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生态效益指标：</w:t>
      </w:r>
    </w:p>
    <w:p w14:paraId="577B126C">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eastAsia="zh-CN"/>
        </w:rPr>
      </w:pPr>
      <w:r>
        <w:rPr>
          <w:rFonts w:hint="eastAsia" w:ascii="仿宋_GB2312" w:hAnsi="仿宋_GB2312" w:eastAsia="仿宋_GB2312"/>
          <w:color w:val="auto"/>
          <w:sz w:val="32"/>
          <w:szCs w:val="32"/>
          <w:highlight w:val="none"/>
          <w:lang w:val="zh-CN"/>
        </w:rPr>
        <w:t>林业有害生物防治成效明显；林、草原、荒漠生态系统生态效益发挥明显。</w:t>
      </w:r>
    </w:p>
    <w:p w14:paraId="2DFE5890">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服务对象满意度指标：</w:t>
      </w:r>
    </w:p>
    <w:p w14:paraId="75108462">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 w:hAnsi="仿宋" w:eastAsia="仿宋"/>
          <w:color w:val="auto"/>
          <w:sz w:val="32"/>
          <w:highlight w:val="none"/>
          <w:lang w:val="en-US" w:eastAsia="zh-CN"/>
        </w:rPr>
      </w:pPr>
      <w:r>
        <w:rPr>
          <w:rFonts w:hint="eastAsia" w:ascii="仿宋_GB2312" w:hAnsi="仿宋_GB2312" w:eastAsia="仿宋_GB2312"/>
          <w:color w:val="auto"/>
          <w:sz w:val="32"/>
          <w:szCs w:val="32"/>
          <w:highlight w:val="none"/>
          <w:lang w:val="zh-CN"/>
        </w:rPr>
        <w:t>项目涉及职工、群众满意度年度指标值≥8</w:t>
      </w: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sz w:val="32"/>
          <w:szCs w:val="32"/>
          <w:highlight w:val="none"/>
          <w:lang w:val="zh-CN"/>
        </w:rPr>
        <w:t>%，实际涉及职工、群众满意度90%。</w:t>
      </w:r>
    </w:p>
    <w:p w14:paraId="2DECCD47">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三、偏离绩效目标的原因和下一步改进措施</w:t>
      </w:r>
    </w:p>
    <w:p w14:paraId="4CC1181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项目总体目标和绩效指标均已按计划完成，无偏离。</w:t>
      </w:r>
    </w:p>
    <w:p w14:paraId="25EC0F88">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四、绩效自评结果拟应用和公开情况</w:t>
      </w:r>
    </w:p>
    <w:p w14:paraId="649D6B88">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default" w:ascii="Calibri" w:hAnsi="Calibri" w:eastAsia="Calibri"/>
          <w:color w:val="auto"/>
          <w:sz w:val="32"/>
          <w:szCs w:val="32"/>
          <w:highlight w:val="none"/>
          <w:lang w:val="en-US"/>
        </w:rPr>
      </w:pPr>
      <w:r>
        <w:rPr>
          <w:rFonts w:hint="eastAsia" w:ascii="仿宋_GB2312" w:hAnsi="仿宋_GB2312" w:eastAsia="仿宋_GB2312"/>
          <w:color w:val="auto"/>
          <w:sz w:val="32"/>
          <w:szCs w:val="32"/>
          <w:highlight w:val="none"/>
          <w:lang w:val="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本次绩效评价结果将在政务公开档进行公开，接受群众监督。</w:t>
      </w:r>
    </w:p>
    <w:p w14:paraId="30F98530">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黑体" w:hAnsi="黑体" w:eastAsia="黑体"/>
          <w:color w:val="auto"/>
          <w:sz w:val="32"/>
          <w:szCs w:val="32"/>
          <w:highlight w:val="none"/>
          <w:lang w:val="zh-CN"/>
        </w:rPr>
      </w:pPr>
      <w:r>
        <w:rPr>
          <w:rFonts w:hint="eastAsia" w:ascii="黑体" w:hAnsi="黑体" w:eastAsia="黑体"/>
          <w:color w:val="auto"/>
          <w:sz w:val="32"/>
          <w:szCs w:val="32"/>
          <w:highlight w:val="none"/>
          <w:lang w:val="zh-CN"/>
        </w:rPr>
        <w:t>五、其他需要说明的问题</w:t>
      </w:r>
    </w:p>
    <w:p w14:paraId="7B5EACE3">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firstLine="640"/>
        <w:jc w:val="both"/>
        <w:textAlignment w:val="auto"/>
        <w:outlineLvl w:val="9"/>
        <w:rPr>
          <w:rFonts w:hint="eastAsia" w:ascii="仿宋_GB2312" w:hAnsi="仿宋_GB2312" w:eastAsia="仿宋_GB2312"/>
          <w:color w:val="auto"/>
          <w:sz w:val="32"/>
          <w:szCs w:val="32"/>
          <w:highlight w:val="none"/>
          <w:lang w:val="zh-CN"/>
        </w:rPr>
      </w:pPr>
      <w:r>
        <w:rPr>
          <w:rFonts w:hint="eastAsia" w:ascii="仿宋_GB2312" w:hAnsi="仿宋_GB2312" w:eastAsia="仿宋_GB2312"/>
          <w:color w:val="auto"/>
          <w:sz w:val="32"/>
          <w:szCs w:val="32"/>
          <w:highlight w:val="none"/>
          <w:lang w:val="zh-CN"/>
        </w:rPr>
        <w:t>无</w:t>
      </w:r>
    </w:p>
    <w:p w14:paraId="21D85BCA">
      <w:pPr>
        <w:pStyle w:val="2"/>
        <w:rPr>
          <w:rFonts w:hint="eastAsia" w:ascii="仿宋_GB2312" w:hAnsi="仿宋_GB2312" w:eastAsia="仿宋_GB2312"/>
          <w:color w:val="auto"/>
          <w:sz w:val="32"/>
          <w:szCs w:val="32"/>
          <w:highlight w:val="none"/>
          <w:lang w:val="zh-CN"/>
        </w:rPr>
      </w:pPr>
    </w:p>
    <w:p w14:paraId="293960E8">
      <w:pPr>
        <w:pStyle w:val="2"/>
        <w:rPr>
          <w:rFonts w:hint="eastAsia" w:ascii="仿宋_GB2312" w:hAnsi="仿宋_GB2312" w:eastAsia="仿宋_GB2312"/>
          <w:color w:val="auto"/>
          <w:sz w:val="32"/>
          <w:szCs w:val="32"/>
          <w:highlight w:val="none"/>
          <w:lang w:val="zh-CN"/>
        </w:rPr>
      </w:pPr>
    </w:p>
    <w:p w14:paraId="513D55BD">
      <w:pPr>
        <w:ind w:firstLine="640" w:firstLineChars="200"/>
        <w:jc w:val="both"/>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附件：林业改革发展资金绩效自评表</w:t>
      </w:r>
    </w:p>
    <w:p w14:paraId="036E9ED0">
      <w:pPr>
        <w:ind w:firstLine="640" w:firstLineChars="200"/>
        <w:jc w:val="both"/>
        <w:rPr>
          <w:rFonts w:hint="eastAsia" w:ascii="仿宋_GB2312" w:hAnsi="宋体" w:eastAsia="仿宋_GB2312" w:cs="宋体"/>
          <w:color w:val="auto"/>
          <w:kern w:val="0"/>
          <w:sz w:val="32"/>
          <w:szCs w:val="32"/>
          <w:highlight w:val="none"/>
        </w:rPr>
      </w:pPr>
    </w:p>
    <w:p w14:paraId="49DCA300">
      <w:pPr>
        <w:keepNext w:val="0"/>
        <w:keepLines w:val="0"/>
        <w:pageBreakBefore w:val="0"/>
        <w:widowControl w:val="0"/>
        <w:kinsoku/>
        <w:wordWrap/>
        <w:overflowPunct/>
        <w:topLinePunct w:val="0"/>
        <w:autoSpaceDE/>
        <w:autoSpaceDN/>
        <w:bidi w:val="0"/>
        <w:adjustRightInd/>
        <w:snapToGrid/>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C9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5E91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985E91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34133"/>
    <w:rsid w:val="01934133"/>
    <w:rsid w:val="2E1C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2025-04-11T02:52:00Z</dcterms:created>
  <dc:creator>zero</dc:creator>
  <cp:lastModifiedBy>zero</cp:lastModifiedBy>
  <dcterms:modified xsi:type="dcterms:W3CDTF">2025-04-11T02:57:59Z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0D306BA3DF784402A167CE810D173ED3_13</vt:lpwstr>
  </property>
  <property fmtid="{D5CDD505-2E9C-101B-9397-08002B2CF9AE}" pid="4" name="KSOTemplateDocerSaveRecord">
    <vt:lpwstr>eyJoZGlkIjoiMDVkOGRkMmEwYWYzNDhjN2Y0NzdmODhjOTk4NzE4ZmIiLCJ1c2VySWQiOiI0NDA0NDEwNTAifQ==</vt:lpwstr>
  </property>
</Properties>
</file>