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71B" w:rsidRPr="00632C95" w:rsidRDefault="00122AA9">
      <w:pPr>
        <w:widowControl/>
        <w:jc w:val="center"/>
        <w:rPr>
          <w:b/>
          <w:bCs/>
          <w:sz w:val="36"/>
          <w:szCs w:val="36"/>
        </w:rPr>
      </w:pPr>
      <w:r w:rsidRPr="00122AA9">
        <w:rPr>
          <w:rFonts w:hint="eastAsia"/>
          <w:b/>
          <w:bCs/>
          <w:sz w:val="36"/>
          <w:szCs w:val="36"/>
        </w:rPr>
        <w:t>仙游盖尾上湖片区</w:t>
      </w:r>
      <w:r w:rsidR="003F16F6" w:rsidRPr="00632C95">
        <w:rPr>
          <w:rFonts w:hint="eastAsia"/>
          <w:b/>
          <w:bCs/>
          <w:sz w:val="36"/>
          <w:szCs w:val="36"/>
        </w:rPr>
        <w:t>土地征收成片开发方案</w:t>
      </w:r>
    </w:p>
    <w:p w:rsidR="004B171B" w:rsidRPr="00632C95" w:rsidRDefault="004B171B" w:rsidP="0066795F">
      <w:pPr>
        <w:pStyle w:val="2"/>
        <w:ind w:firstLine="420"/>
      </w:pPr>
    </w:p>
    <w:p w:rsidR="004B171B" w:rsidRPr="00632C95" w:rsidRDefault="00156ABB">
      <w:pPr>
        <w:pStyle w:val="10"/>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编制依据</w:t>
      </w:r>
    </w:p>
    <w:p w:rsidR="004B171B" w:rsidRPr="00632C95" w:rsidRDefault="00156ABB">
      <w:pPr>
        <w:pStyle w:val="10"/>
        <w:ind w:firstLine="560"/>
        <w:rPr>
          <w:rFonts w:ascii="宋体" w:eastAsia="宋体" w:hAnsi="宋体"/>
          <w:sz w:val="28"/>
          <w:szCs w:val="28"/>
        </w:rPr>
      </w:pPr>
      <w:r w:rsidRPr="00632C95">
        <w:rPr>
          <w:rFonts w:ascii="宋体" w:eastAsia="宋体" w:hAnsi="宋体" w:hint="eastAsia"/>
          <w:sz w:val="28"/>
          <w:szCs w:val="28"/>
        </w:rPr>
        <w:t>根据《中华人民共和国土地管理法》（2019年修正法）</w:t>
      </w:r>
      <w:r w:rsidRPr="00632C95">
        <w:rPr>
          <w:rFonts w:ascii="宋体" w:eastAsia="宋体" w:hAnsi="宋体"/>
          <w:sz w:val="28"/>
          <w:szCs w:val="28"/>
        </w:rPr>
        <w:t>、</w:t>
      </w:r>
      <w:r w:rsidRPr="00BB6A48">
        <w:rPr>
          <w:rFonts w:ascii="宋体" w:eastAsia="宋体" w:hAnsi="宋体" w:hint="eastAsia"/>
          <w:sz w:val="28"/>
          <w:szCs w:val="28"/>
        </w:rPr>
        <w:t>《国土资源部关于进一步做好新型城镇化建设土地服务保障工作的通知》</w:t>
      </w:r>
      <w:r w:rsidRPr="00632C95">
        <w:rPr>
          <w:rFonts w:ascii="宋体" w:eastAsia="宋体" w:hAnsi="宋体" w:hint="eastAsia"/>
          <w:sz w:val="28"/>
          <w:szCs w:val="28"/>
        </w:rPr>
        <w:t>（国土资规〔2016〕4号）</w:t>
      </w:r>
      <w:r w:rsidRPr="00632C95">
        <w:rPr>
          <w:rFonts w:ascii="宋体" w:eastAsia="宋体" w:hAnsi="宋体"/>
          <w:sz w:val="28"/>
          <w:szCs w:val="28"/>
        </w:rPr>
        <w:t>、</w:t>
      </w:r>
      <w:r w:rsidRPr="00632C95">
        <w:rPr>
          <w:rFonts w:ascii="宋体" w:eastAsia="宋体" w:hAnsi="宋体" w:hint="eastAsia"/>
          <w:sz w:val="28"/>
          <w:szCs w:val="28"/>
        </w:rPr>
        <w:t>《自然资源部关于印发〈土地征收成片开发标准（试行）〉的通知》（自然资规〔2020〕5号）</w:t>
      </w:r>
      <w:r w:rsidRPr="00632C95">
        <w:rPr>
          <w:rFonts w:ascii="宋体" w:eastAsia="宋体" w:hAnsi="宋体"/>
          <w:sz w:val="28"/>
          <w:szCs w:val="28"/>
        </w:rPr>
        <w:t>、</w:t>
      </w:r>
      <w:r w:rsidRPr="00632C95">
        <w:rPr>
          <w:rFonts w:ascii="宋体" w:eastAsia="宋体" w:hAnsi="宋体" w:hint="eastAsia"/>
          <w:sz w:val="28"/>
          <w:szCs w:val="28"/>
        </w:rPr>
        <w:t>《资源环境承载能力和国土空间开发适宜性评价指南（试行）》（自然资办函〔2020〕127号）</w:t>
      </w:r>
      <w:r w:rsidRPr="00632C95">
        <w:rPr>
          <w:rFonts w:ascii="宋体" w:eastAsia="宋体" w:hAnsi="宋体"/>
          <w:sz w:val="28"/>
          <w:szCs w:val="28"/>
        </w:rPr>
        <w:t>、</w:t>
      </w:r>
      <w:r w:rsidRPr="00632C95">
        <w:rPr>
          <w:rFonts w:ascii="宋体" w:eastAsia="宋体" w:hAnsi="宋体" w:hint="eastAsia"/>
          <w:sz w:val="28"/>
          <w:szCs w:val="28"/>
        </w:rPr>
        <w:t>《自然资源部办公厅关于规范开展建设项目节地评价工作的通知》（自然资办发〔2021〕14号）</w:t>
      </w:r>
      <w:r w:rsidRPr="00632C95">
        <w:rPr>
          <w:rFonts w:ascii="宋体" w:eastAsia="宋体" w:hAnsi="宋体"/>
          <w:sz w:val="28"/>
          <w:szCs w:val="28"/>
        </w:rPr>
        <w:t>、</w:t>
      </w:r>
      <w:r w:rsidRPr="00632C95">
        <w:rPr>
          <w:rFonts w:ascii="宋体" w:eastAsia="宋体" w:hAnsi="宋体" w:hint="eastAsia"/>
          <w:sz w:val="28"/>
          <w:szCs w:val="28"/>
        </w:rPr>
        <w:t>《福建省自然资源厅关于印发&lt;福建省土地征收成片开发方案报批实施细则（试行）&gt;的通知》（闽自然资发〔2021〕3号）</w:t>
      </w:r>
      <w:r w:rsidRPr="00632C95">
        <w:rPr>
          <w:rFonts w:ascii="宋体" w:eastAsia="宋体" w:hAnsi="宋体"/>
          <w:sz w:val="28"/>
          <w:szCs w:val="28"/>
        </w:rPr>
        <w:t>、</w:t>
      </w:r>
      <w:r w:rsidRPr="00632C95">
        <w:rPr>
          <w:rFonts w:ascii="宋体" w:eastAsia="宋体" w:hAnsi="宋体" w:hint="eastAsia"/>
          <w:sz w:val="28"/>
          <w:szCs w:val="28"/>
        </w:rPr>
        <w:t>《福建省土地征收成片开发方案编制参考指南（试行）》</w:t>
      </w:r>
      <w:r w:rsidRPr="00632C95">
        <w:rPr>
          <w:rFonts w:ascii="宋体" w:eastAsia="宋体" w:hAnsi="宋体"/>
          <w:sz w:val="28"/>
          <w:szCs w:val="28"/>
        </w:rPr>
        <w:t>、</w:t>
      </w:r>
      <w:r w:rsidRPr="00632C95">
        <w:rPr>
          <w:rFonts w:ascii="宋体" w:eastAsia="宋体" w:hAnsi="宋体" w:hint="eastAsia"/>
          <w:sz w:val="28"/>
          <w:szCs w:val="28"/>
        </w:rPr>
        <w:t>《国土空间调查、规划、用途管制用地用海分类指南（试行）》</w:t>
      </w:r>
      <w:r w:rsidRPr="00632C95">
        <w:rPr>
          <w:rFonts w:ascii="宋体" w:eastAsia="宋体" w:hAnsi="宋体"/>
          <w:sz w:val="28"/>
          <w:szCs w:val="28"/>
        </w:rPr>
        <w:t>、</w:t>
      </w:r>
      <w:r w:rsidRPr="00632C95">
        <w:rPr>
          <w:rFonts w:ascii="宋体" w:eastAsia="宋体" w:hAnsi="宋体" w:hint="eastAsia"/>
          <w:sz w:val="28"/>
          <w:szCs w:val="28"/>
        </w:rPr>
        <w:t>《仙游县国民经济和社会发展第十四个五年规划和二〇三五年远景目标纲要》</w:t>
      </w:r>
      <w:r w:rsidRPr="00632C95">
        <w:rPr>
          <w:rFonts w:ascii="宋体" w:eastAsia="宋体" w:hAnsi="宋体"/>
          <w:sz w:val="28"/>
          <w:szCs w:val="28"/>
        </w:rPr>
        <w:t>、</w:t>
      </w:r>
      <w:r w:rsidRPr="00632C95">
        <w:rPr>
          <w:rFonts w:ascii="宋体" w:eastAsia="宋体" w:hAnsi="宋体" w:hint="eastAsia"/>
          <w:sz w:val="28"/>
          <w:szCs w:val="28"/>
        </w:rPr>
        <w:t>《仙游县土地利用总体规划（2017-2030）》</w:t>
      </w:r>
      <w:r w:rsidRPr="00632C95">
        <w:rPr>
          <w:rFonts w:ascii="宋体" w:eastAsia="宋体" w:hAnsi="宋体"/>
          <w:sz w:val="28"/>
          <w:szCs w:val="28"/>
        </w:rPr>
        <w:t>、</w:t>
      </w:r>
      <w:r w:rsidRPr="00632C95">
        <w:rPr>
          <w:rFonts w:ascii="宋体" w:eastAsia="宋体" w:hAnsi="宋体" w:hint="eastAsia"/>
          <w:sz w:val="28"/>
          <w:szCs w:val="28"/>
        </w:rPr>
        <w:t>其他仙游县县域数据及资料</w:t>
      </w:r>
      <w:r w:rsidRPr="00632C95">
        <w:rPr>
          <w:rFonts w:ascii="宋体" w:eastAsia="宋体" w:hAnsi="宋体"/>
          <w:sz w:val="28"/>
          <w:szCs w:val="28"/>
        </w:rPr>
        <w:t>等，编制《</w:t>
      </w:r>
      <w:r w:rsidR="001E59CC" w:rsidRPr="001E59CC">
        <w:rPr>
          <w:rFonts w:ascii="宋体" w:eastAsia="宋体" w:hAnsi="宋体" w:hint="eastAsia"/>
          <w:sz w:val="28"/>
          <w:szCs w:val="28"/>
        </w:rPr>
        <w:t>仙游盖尾上湖片区</w:t>
      </w:r>
      <w:r w:rsidR="006B5CE2" w:rsidRPr="00632C95">
        <w:rPr>
          <w:rFonts w:ascii="宋体" w:eastAsia="宋体" w:hAnsi="宋体" w:hint="eastAsia"/>
          <w:sz w:val="28"/>
          <w:szCs w:val="28"/>
        </w:rPr>
        <w:t>土地征收成片开发方案</w:t>
      </w:r>
      <w:r w:rsidRPr="00632C95">
        <w:rPr>
          <w:rFonts w:ascii="宋体" w:eastAsia="宋体" w:hAnsi="宋体"/>
          <w:sz w:val="28"/>
          <w:szCs w:val="28"/>
        </w:rPr>
        <w:t>》。</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基本情况</w:t>
      </w:r>
    </w:p>
    <w:p w:rsidR="004B171B" w:rsidRPr="00632C95" w:rsidRDefault="00156ABB">
      <w:pPr>
        <w:widowControl/>
        <w:ind w:firstLineChars="200" w:firstLine="560"/>
        <w:rPr>
          <w:rFonts w:ascii="宋体" w:eastAsia="宋体" w:hAnsi="宋体"/>
          <w:sz w:val="28"/>
          <w:szCs w:val="28"/>
        </w:rPr>
      </w:pPr>
      <w:r w:rsidRPr="00632C95">
        <w:rPr>
          <w:rFonts w:ascii="宋体" w:eastAsia="宋体" w:hAnsi="宋体" w:hint="eastAsia"/>
          <w:sz w:val="28"/>
          <w:szCs w:val="28"/>
        </w:rPr>
        <w:t>成片开发区域位于福建省仙游县</w:t>
      </w:r>
      <w:r w:rsidR="005A4D38">
        <w:rPr>
          <w:rFonts w:ascii="宋体" w:eastAsia="宋体" w:hAnsi="宋体" w:hint="eastAsia"/>
          <w:sz w:val="28"/>
          <w:szCs w:val="28"/>
        </w:rPr>
        <w:t>盖尾</w:t>
      </w:r>
      <w:r w:rsidR="00B7482D">
        <w:rPr>
          <w:rFonts w:ascii="宋体" w:eastAsia="宋体" w:hAnsi="宋体" w:hint="eastAsia"/>
          <w:sz w:val="28"/>
          <w:szCs w:val="28"/>
        </w:rPr>
        <w:t>镇。</w:t>
      </w:r>
      <w:r w:rsidRPr="00632C95">
        <w:rPr>
          <w:rFonts w:ascii="宋体" w:eastAsia="宋体" w:hAnsi="宋体" w:hint="eastAsia"/>
          <w:sz w:val="28"/>
          <w:szCs w:val="28"/>
        </w:rPr>
        <w:t>涉及仙游县</w:t>
      </w:r>
      <w:r w:rsidR="001A6F65">
        <w:rPr>
          <w:rFonts w:ascii="宋体" w:eastAsia="宋体" w:hAnsi="宋体" w:hint="eastAsia"/>
          <w:sz w:val="28"/>
          <w:szCs w:val="28"/>
        </w:rPr>
        <w:t>盖尾</w:t>
      </w:r>
      <w:r w:rsidRPr="00632C95">
        <w:rPr>
          <w:rFonts w:ascii="宋体" w:eastAsia="宋体" w:hAnsi="宋体" w:hint="eastAsia"/>
          <w:sz w:val="28"/>
          <w:szCs w:val="28"/>
        </w:rPr>
        <w:t>镇</w:t>
      </w:r>
      <w:r w:rsidR="00692E6F">
        <w:rPr>
          <w:rFonts w:ascii="宋体" w:eastAsia="宋体" w:hAnsi="宋体" w:hint="eastAsia"/>
          <w:sz w:val="28"/>
          <w:szCs w:val="28"/>
        </w:rPr>
        <w:t>仙华村、南宝峰</w:t>
      </w:r>
      <w:r w:rsidR="0034167A" w:rsidRPr="00632C95">
        <w:rPr>
          <w:rFonts w:ascii="宋体" w:eastAsia="宋体" w:hAnsi="宋体" w:hint="eastAsia"/>
          <w:sz w:val="28"/>
          <w:szCs w:val="28"/>
        </w:rPr>
        <w:t>村</w:t>
      </w:r>
      <w:r w:rsidRPr="00632C95">
        <w:rPr>
          <w:rFonts w:ascii="宋体" w:eastAsia="宋体" w:hAnsi="宋体" w:hint="eastAsia"/>
          <w:sz w:val="28"/>
          <w:szCs w:val="28"/>
        </w:rPr>
        <w:t>，共1个镇</w:t>
      </w:r>
      <w:r w:rsidR="00351E97" w:rsidRPr="00632C95">
        <w:rPr>
          <w:rFonts w:ascii="宋体" w:eastAsia="宋体" w:hAnsi="宋体" w:hint="eastAsia"/>
          <w:sz w:val="28"/>
          <w:szCs w:val="28"/>
        </w:rPr>
        <w:t>2</w:t>
      </w:r>
      <w:r w:rsidRPr="00632C95">
        <w:rPr>
          <w:rFonts w:ascii="宋体" w:eastAsia="宋体" w:hAnsi="宋体" w:hint="eastAsia"/>
          <w:sz w:val="28"/>
          <w:szCs w:val="28"/>
        </w:rPr>
        <w:t>个村。成片开发面积</w:t>
      </w:r>
      <w:r w:rsidR="00C57752">
        <w:rPr>
          <w:rFonts w:ascii="宋体" w:eastAsia="宋体" w:hAnsi="宋体" w:hint="eastAsia"/>
          <w:sz w:val="28"/>
          <w:szCs w:val="28"/>
        </w:rPr>
        <w:t>10.7771</w:t>
      </w:r>
      <w:r w:rsidRPr="00632C95">
        <w:rPr>
          <w:rFonts w:ascii="宋体" w:eastAsia="宋体" w:hAnsi="宋体" w:hint="eastAsia"/>
          <w:sz w:val="28"/>
          <w:szCs w:val="28"/>
        </w:rPr>
        <w:t>公顷。涉及国有土地</w:t>
      </w:r>
      <w:r w:rsidR="001C7B58">
        <w:rPr>
          <w:rFonts w:ascii="宋体" w:eastAsia="宋体" w:hAnsi="宋体" w:hint="eastAsia"/>
          <w:sz w:val="28"/>
          <w:szCs w:val="28"/>
        </w:rPr>
        <w:t>1.4361</w:t>
      </w:r>
      <w:r w:rsidRPr="00632C95">
        <w:rPr>
          <w:rFonts w:ascii="宋体" w:eastAsia="宋体" w:hAnsi="宋体" w:hint="eastAsia"/>
          <w:sz w:val="28"/>
          <w:szCs w:val="28"/>
        </w:rPr>
        <w:t>公顷，集体土地</w:t>
      </w:r>
      <w:r w:rsidR="0048106E">
        <w:rPr>
          <w:rFonts w:ascii="宋体" w:eastAsia="宋体" w:hAnsi="宋体" w:hint="eastAsia"/>
          <w:sz w:val="28"/>
          <w:szCs w:val="28"/>
        </w:rPr>
        <w:t>9.341</w:t>
      </w:r>
      <w:r w:rsidRPr="00632C95">
        <w:rPr>
          <w:rFonts w:ascii="宋体" w:eastAsia="宋体" w:hAnsi="宋体" w:hint="eastAsia"/>
          <w:sz w:val="28"/>
          <w:szCs w:val="28"/>
        </w:rPr>
        <w:t>公顷。根据实地勘测调查，本方案</w:t>
      </w:r>
      <w:bookmarkStart w:id="0" w:name="_GoBack"/>
      <w:bookmarkEnd w:id="0"/>
      <w:r w:rsidRPr="00632C95">
        <w:rPr>
          <w:rFonts w:ascii="宋体" w:eastAsia="宋体" w:hAnsi="宋体" w:hint="eastAsia"/>
          <w:sz w:val="28"/>
          <w:szCs w:val="28"/>
        </w:rPr>
        <w:t>成片开发范围总面积</w:t>
      </w:r>
      <w:r w:rsidR="002A0B85">
        <w:rPr>
          <w:rFonts w:ascii="宋体" w:eastAsia="宋体" w:hAnsi="宋体" w:hint="eastAsia"/>
          <w:sz w:val="28"/>
          <w:szCs w:val="28"/>
        </w:rPr>
        <w:t>10.7771</w:t>
      </w:r>
      <w:r w:rsidRPr="00632C95">
        <w:rPr>
          <w:rFonts w:ascii="宋体" w:eastAsia="宋体" w:hAnsi="宋体" w:hint="eastAsia"/>
          <w:sz w:val="28"/>
          <w:szCs w:val="28"/>
        </w:rPr>
        <w:t>公顷，其中：农用地</w:t>
      </w:r>
      <w:r w:rsidR="00306367">
        <w:rPr>
          <w:rFonts w:ascii="宋体" w:eastAsia="宋体" w:hAnsi="宋体" w:hint="eastAsia"/>
          <w:sz w:val="28"/>
          <w:szCs w:val="28"/>
        </w:rPr>
        <w:t>5.2454</w:t>
      </w:r>
      <w:r w:rsidRPr="00632C95">
        <w:rPr>
          <w:rFonts w:ascii="宋体" w:eastAsia="宋体" w:hAnsi="宋体" w:hint="eastAsia"/>
          <w:sz w:val="28"/>
          <w:szCs w:val="28"/>
        </w:rPr>
        <w:t>公顷（耕地</w:t>
      </w:r>
      <w:r w:rsidR="00DB11EB">
        <w:rPr>
          <w:rFonts w:ascii="宋体" w:eastAsia="宋体" w:hAnsi="宋体" w:hint="eastAsia"/>
          <w:sz w:val="28"/>
          <w:szCs w:val="28"/>
        </w:rPr>
        <w:t>0.1378</w:t>
      </w:r>
      <w:r w:rsidRPr="00632C95">
        <w:rPr>
          <w:rFonts w:ascii="宋体" w:eastAsia="宋体" w:hAnsi="宋体" w:hint="eastAsia"/>
          <w:sz w:val="28"/>
          <w:szCs w:val="28"/>
        </w:rPr>
        <w:t>公顷），建设用地</w:t>
      </w:r>
      <w:r w:rsidR="008C0357">
        <w:rPr>
          <w:rFonts w:ascii="宋体" w:eastAsia="宋体" w:hAnsi="宋体" w:hint="eastAsia"/>
          <w:sz w:val="28"/>
          <w:szCs w:val="28"/>
        </w:rPr>
        <w:t>5.2451</w:t>
      </w:r>
      <w:r w:rsidRPr="00632C95">
        <w:rPr>
          <w:rFonts w:ascii="宋体" w:eastAsia="宋体" w:hAnsi="宋体" w:hint="eastAsia"/>
          <w:sz w:val="28"/>
          <w:szCs w:val="28"/>
        </w:rPr>
        <w:t>公顷</w:t>
      </w:r>
      <w:r w:rsidR="008C0357">
        <w:rPr>
          <w:rFonts w:ascii="宋体" w:eastAsia="宋体" w:hAnsi="宋体" w:hint="eastAsia"/>
          <w:sz w:val="28"/>
          <w:szCs w:val="28"/>
        </w:rPr>
        <w:t>、未利用地0.2867公顷</w:t>
      </w:r>
      <w:r w:rsidRPr="00632C95">
        <w:rPr>
          <w:rFonts w:ascii="宋体" w:eastAsia="宋体" w:hAnsi="宋体" w:hint="eastAsia"/>
          <w:sz w:val="28"/>
          <w:szCs w:val="28"/>
        </w:rPr>
        <w:t>。</w:t>
      </w:r>
    </w:p>
    <w:p w:rsidR="004B171B" w:rsidRPr="00632C95" w:rsidRDefault="00156ABB" w:rsidP="004119A8">
      <w:pPr>
        <w:pStyle w:val="1"/>
        <w:numPr>
          <w:ilvl w:val="0"/>
          <w:numId w:val="1"/>
        </w:numPr>
        <w:ind w:left="0" w:firstLineChars="0"/>
        <w:rPr>
          <w:rFonts w:ascii="宋体" w:eastAsia="宋体" w:hAnsi="宋体"/>
          <w:b/>
          <w:bCs/>
          <w:sz w:val="28"/>
          <w:szCs w:val="28"/>
        </w:rPr>
      </w:pPr>
      <w:r w:rsidRPr="00632C95">
        <w:rPr>
          <w:rFonts w:ascii="宋体" w:eastAsia="宋体" w:hAnsi="宋体" w:hint="eastAsia"/>
          <w:b/>
          <w:bCs/>
          <w:sz w:val="28"/>
          <w:szCs w:val="28"/>
        </w:rPr>
        <w:lastRenderedPageBreak/>
        <w:t>必要性</w:t>
      </w:r>
      <w:r w:rsidR="004119A8" w:rsidRPr="00632C95">
        <w:rPr>
          <w:rFonts w:ascii="宋体" w:eastAsia="宋体" w:hAnsi="宋体" w:hint="eastAsia"/>
          <w:b/>
          <w:bCs/>
          <w:sz w:val="28"/>
          <w:szCs w:val="28"/>
        </w:rPr>
        <w:t>及科学合理性</w:t>
      </w:r>
    </w:p>
    <w:p w:rsidR="008C0311" w:rsidRPr="008C0311" w:rsidRDefault="008C0311" w:rsidP="008C0311">
      <w:pPr>
        <w:rPr>
          <w:sz w:val="28"/>
          <w:szCs w:val="36"/>
        </w:rPr>
      </w:pPr>
      <w:bookmarkStart w:id="1" w:name="_Toc79565280"/>
      <w:r w:rsidRPr="008C0311">
        <w:rPr>
          <w:rFonts w:hint="eastAsia"/>
          <w:sz w:val="28"/>
          <w:szCs w:val="36"/>
        </w:rPr>
        <w:t>（一）必要性</w:t>
      </w:r>
      <w:bookmarkEnd w:id="1"/>
    </w:p>
    <w:p w:rsidR="008C0311" w:rsidRPr="008C0311" w:rsidRDefault="008C0311" w:rsidP="008C0311">
      <w:pPr>
        <w:ind w:firstLineChars="196" w:firstLine="549"/>
        <w:rPr>
          <w:sz w:val="28"/>
          <w:szCs w:val="36"/>
        </w:rPr>
      </w:pPr>
      <w:bookmarkStart w:id="2" w:name="_Toc79565281"/>
      <w:r w:rsidRPr="008C0311">
        <w:rPr>
          <w:rFonts w:hint="eastAsia"/>
          <w:sz w:val="28"/>
          <w:szCs w:val="36"/>
        </w:rPr>
        <w:t>1</w:t>
      </w:r>
      <w:r w:rsidRPr="008C0311">
        <w:rPr>
          <w:rFonts w:hint="eastAsia"/>
          <w:sz w:val="28"/>
          <w:szCs w:val="36"/>
        </w:rPr>
        <w:t>、是落实产城融合发展的需要</w:t>
      </w:r>
      <w:bookmarkStart w:id="3" w:name="_Toc79565282"/>
      <w:bookmarkEnd w:id="2"/>
      <w:r>
        <w:rPr>
          <w:rFonts w:hint="eastAsia"/>
          <w:sz w:val="28"/>
          <w:szCs w:val="36"/>
        </w:rPr>
        <w:t>。</w:t>
      </w:r>
      <w:r w:rsidRPr="008C0311">
        <w:rPr>
          <w:rFonts w:hint="eastAsia"/>
          <w:sz w:val="28"/>
          <w:szCs w:val="36"/>
        </w:rPr>
        <w:t>根据《仙游东南部产业聚集区产城融合规划》及《仙游县盖尾镇总体规划（</w:t>
      </w:r>
      <w:r w:rsidRPr="008C0311">
        <w:rPr>
          <w:rFonts w:hint="eastAsia"/>
          <w:sz w:val="28"/>
          <w:szCs w:val="36"/>
        </w:rPr>
        <w:t>2017-2030</w:t>
      </w:r>
      <w:r w:rsidRPr="008C0311">
        <w:rPr>
          <w:rFonts w:hint="eastAsia"/>
          <w:sz w:val="28"/>
          <w:szCs w:val="36"/>
        </w:rPr>
        <w:t>年）》，盖尾镇未来将建设成为产业发展与城镇建设相匹配、配套设施完善、人民安居乐业的综合性工业型小城镇，因此要加快盖尾镇城镇建设，建立较为完善的公共服务及产业配套设施，形成“以产促城，以城兴产，产城融合”的模式。根据规划布局，盖尾镇应积极制定产城融合相关规划策略，以科学规划指导城镇空间、产业的发展。通过该方案的实施，</w:t>
      </w:r>
      <w:bookmarkEnd w:id="3"/>
      <w:r w:rsidRPr="008C0311">
        <w:rPr>
          <w:rFonts w:hint="eastAsia"/>
          <w:sz w:val="28"/>
          <w:szCs w:val="36"/>
        </w:rPr>
        <w:t>可以充分利用周边已较为成熟的公共基础设施配套条件，逐步建立起职住平衡的城镇生活生产格局。</w:t>
      </w:r>
    </w:p>
    <w:p w:rsidR="008C0311" w:rsidRPr="008C0311" w:rsidRDefault="008C0311" w:rsidP="008C0311">
      <w:pPr>
        <w:ind w:firstLineChars="196" w:firstLine="549"/>
        <w:rPr>
          <w:sz w:val="28"/>
          <w:szCs w:val="36"/>
        </w:rPr>
      </w:pPr>
      <w:bookmarkStart w:id="4" w:name="_Toc79565283"/>
      <w:r w:rsidRPr="008C0311">
        <w:rPr>
          <w:rFonts w:hint="eastAsia"/>
          <w:sz w:val="28"/>
          <w:szCs w:val="36"/>
        </w:rPr>
        <w:t>2</w:t>
      </w:r>
      <w:r w:rsidRPr="008C0311">
        <w:rPr>
          <w:rFonts w:hint="eastAsia"/>
          <w:sz w:val="28"/>
          <w:szCs w:val="36"/>
        </w:rPr>
        <w:t>、是满足群众居住需求的举措</w:t>
      </w:r>
      <w:bookmarkEnd w:id="4"/>
      <w:r>
        <w:rPr>
          <w:rFonts w:hint="eastAsia"/>
          <w:sz w:val="28"/>
          <w:szCs w:val="36"/>
        </w:rPr>
        <w:t>。</w:t>
      </w:r>
      <w:r w:rsidRPr="008C0311">
        <w:rPr>
          <w:rFonts w:hint="eastAsia"/>
          <w:sz w:val="28"/>
          <w:szCs w:val="36"/>
        </w:rPr>
        <w:t>方案所涉及的南宝峰村和仙华村均为盖尾镇户籍人口超过</w:t>
      </w:r>
      <w:r w:rsidRPr="008C0311">
        <w:rPr>
          <w:rFonts w:hint="eastAsia"/>
          <w:sz w:val="28"/>
          <w:szCs w:val="36"/>
        </w:rPr>
        <w:t>5</w:t>
      </w:r>
      <w:r w:rsidRPr="008C0311">
        <w:rPr>
          <w:rFonts w:hint="eastAsia"/>
          <w:sz w:val="28"/>
          <w:szCs w:val="36"/>
        </w:rPr>
        <w:t>千人的特大型村，且两个村均位于盖尾镇镇区范围内。盖尾镇是典型的工业集镇，其中仙游县仙港工业园仙华片区即座落在仙华村。根据《莆田市仙游县盖尾镇总体规划（</w:t>
      </w:r>
      <w:r w:rsidRPr="008C0311">
        <w:rPr>
          <w:rFonts w:hint="eastAsia"/>
          <w:sz w:val="28"/>
          <w:szCs w:val="36"/>
        </w:rPr>
        <w:t>2017-2030</w:t>
      </w:r>
      <w:r w:rsidRPr="008C0311">
        <w:rPr>
          <w:rFonts w:hint="eastAsia"/>
          <w:sz w:val="28"/>
          <w:szCs w:val="36"/>
        </w:rPr>
        <w:t>年）》，该成片开发方案所处的单元位于城镇综合发展区，单元类型为城镇建设，主导功能为城镇居住、商业金融、工业生产和公共服务，规划依托原有公共基础设施并加以完善，形成城镇发展综合区。通过该方案的建设，有利于提升满足当地居民、职工的生产生活需要，有利于进一步提升盖尾镇的镇区环境和品质，推动片区向城镇综合发展区发展。</w:t>
      </w:r>
    </w:p>
    <w:p w:rsidR="001F15B3" w:rsidRDefault="001F15B3" w:rsidP="008C0311">
      <w:pPr>
        <w:rPr>
          <w:rFonts w:hint="eastAsia"/>
          <w:sz w:val="28"/>
          <w:szCs w:val="36"/>
        </w:rPr>
      </w:pPr>
      <w:bookmarkStart w:id="5" w:name="_Toc79565284"/>
    </w:p>
    <w:p w:rsidR="008C0311" w:rsidRPr="008C0311" w:rsidRDefault="008C0311" w:rsidP="008C0311">
      <w:pPr>
        <w:rPr>
          <w:sz w:val="28"/>
          <w:szCs w:val="36"/>
        </w:rPr>
      </w:pPr>
      <w:r w:rsidRPr="008C0311">
        <w:rPr>
          <w:rFonts w:hint="eastAsia"/>
          <w:sz w:val="28"/>
          <w:szCs w:val="36"/>
        </w:rPr>
        <w:lastRenderedPageBreak/>
        <w:t>（二）科学合理性</w:t>
      </w:r>
      <w:bookmarkEnd w:id="5"/>
    </w:p>
    <w:p w:rsidR="008C0311" w:rsidRPr="008C0311" w:rsidRDefault="008C0311" w:rsidP="008C0311">
      <w:pPr>
        <w:pStyle w:val="a4"/>
        <w:ind w:left="0" w:firstLine="562"/>
        <w:rPr>
          <w:rFonts w:asciiTheme="minorHAnsi" w:eastAsiaTheme="minorEastAsia" w:hAnsiTheme="minorHAnsi" w:cstheme="minorBidi"/>
          <w:sz w:val="28"/>
          <w:szCs w:val="36"/>
          <w:lang w:val="en-US" w:bidi="ar-SA"/>
        </w:rPr>
      </w:pPr>
      <w:r w:rsidRPr="008C0311">
        <w:rPr>
          <w:rFonts w:asciiTheme="minorHAnsi" w:eastAsiaTheme="minorEastAsia" w:hAnsiTheme="minorHAnsi" w:cstheme="minorBidi" w:hint="eastAsia"/>
          <w:sz w:val="28"/>
          <w:szCs w:val="36"/>
          <w:lang w:val="en-US" w:bidi="ar-SA"/>
        </w:rPr>
        <w:t>1</w:t>
      </w:r>
      <w:r w:rsidRPr="008C0311">
        <w:rPr>
          <w:rFonts w:asciiTheme="minorHAnsi" w:eastAsiaTheme="minorEastAsia" w:hAnsiTheme="minorHAnsi" w:cstheme="minorBidi" w:hint="eastAsia"/>
          <w:sz w:val="28"/>
          <w:szCs w:val="36"/>
          <w:lang w:val="en-US" w:bidi="ar-SA"/>
        </w:rPr>
        <w:t>、选址合理。本成片开发范围位于仙游县盖尾镇，片区内及周边基础配套设施条件较完善，对外邻宝峰街、仙港大道、湄西线，交通条件十分便利，距仙港工业园约</w:t>
      </w:r>
      <w:r w:rsidRPr="008C0311">
        <w:rPr>
          <w:rFonts w:asciiTheme="minorHAnsi" w:eastAsiaTheme="minorEastAsia" w:hAnsiTheme="minorHAnsi" w:cstheme="minorBidi" w:hint="eastAsia"/>
          <w:sz w:val="28"/>
          <w:szCs w:val="36"/>
          <w:lang w:val="en-US" w:bidi="ar-SA"/>
        </w:rPr>
        <w:t>5</w:t>
      </w:r>
      <w:r w:rsidRPr="008C0311">
        <w:rPr>
          <w:rFonts w:asciiTheme="minorHAnsi" w:eastAsiaTheme="minorEastAsia" w:hAnsiTheme="minorHAnsi" w:cstheme="minorBidi" w:hint="eastAsia"/>
          <w:sz w:val="28"/>
          <w:szCs w:val="36"/>
          <w:lang w:val="en-US" w:bidi="ar-SA"/>
        </w:rPr>
        <w:t>公里左右，对解决镇区与工业园区职工居住需要均具备十分便捷的条件。此外，片区内有已建成的盖尾中学（为完全中学，拟扩建）、幼儿园及一些小型的商业服务业配套，可以为周边的居民及职工提供较为便利的生活生产服务条件。</w:t>
      </w:r>
    </w:p>
    <w:p w:rsidR="008C0311" w:rsidRPr="008C0311" w:rsidRDefault="008C0311" w:rsidP="008C0311">
      <w:pPr>
        <w:ind w:firstLine="562"/>
        <w:rPr>
          <w:sz w:val="28"/>
          <w:szCs w:val="36"/>
        </w:rPr>
      </w:pPr>
      <w:r w:rsidRPr="008C0311">
        <w:rPr>
          <w:rFonts w:hint="eastAsia"/>
          <w:sz w:val="28"/>
          <w:szCs w:val="36"/>
        </w:rPr>
        <w:t>2</w:t>
      </w:r>
      <w:r w:rsidRPr="008C0311">
        <w:rPr>
          <w:rFonts w:hint="eastAsia"/>
          <w:sz w:val="28"/>
          <w:szCs w:val="36"/>
        </w:rPr>
        <w:t>、划定范围合理。本成片开发片区总面积</w:t>
      </w:r>
      <w:r w:rsidRPr="008C0311">
        <w:rPr>
          <w:rFonts w:hint="eastAsia"/>
          <w:sz w:val="28"/>
          <w:szCs w:val="36"/>
        </w:rPr>
        <w:t>10.7771</w:t>
      </w:r>
      <w:r w:rsidRPr="008C0311">
        <w:rPr>
          <w:rFonts w:hint="eastAsia"/>
          <w:sz w:val="28"/>
          <w:szCs w:val="36"/>
        </w:rPr>
        <w:t>公顷，符合《实施细则》中“一个完整的成片开发范围，设区市辖区一般不小于</w:t>
      </w:r>
      <w:r w:rsidRPr="008C0311">
        <w:rPr>
          <w:rFonts w:hint="eastAsia"/>
          <w:sz w:val="28"/>
          <w:szCs w:val="36"/>
        </w:rPr>
        <w:t>6</w:t>
      </w:r>
      <w:r w:rsidRPr="008C0311">
        <w:rPr>
          <w:rFonts w:hint="eastAsia"/>
          <w:sz w:val="28"/>
          <w:szCs w:val="36"/>
        </w:rPr>
        <w:t>公顷，县（市）一般不小于</w:t>
      </w:r>
      <w:r w:rsidRPr="008C0311">
        <w:rPr>
          <w:rFonts w:hint="eastAsia"/>
          <w:sz w:val="28"/>
          <w:szCs w:val="36"/>
        </w:rPr>
        <w:t>4</w:t>
      </w:r>
      <w:r w:rsidRPr="008C0311">
        <w:rPr>
          <w:rFonts w:hint="eastAsia"/>
          <w:sz w:val="28"/>
          <w:szCs w:val="36"/>
        </w:rPr>
        <w:t>公顷”的规定，规模控制合理。成片开发范围位于国土空间规划划定的城镇开发边界内的集中建设区，不占用永久基本农田和生态保护红线，以及其他法律法规规定不允许占用或开发的区域。</w:t>
      </w:r>
    </w:p>
    <w:p w:rsidR="004B171B" w:rsidRPr="008C0311" w:rsidRDefault="008C0311" w:rsidP="008C0311">
      <w:pPr>
        <w:ind w:firstLine="562"/>
        <w:rPr>
          <w:sz w:val="28"/>
          <w:szCs w:val="36"/>
        </w:rPr>
      </w:pPr>
      <w:r w:rsidRPr="008C0311">
        <w:rPr>
          <w:rFonts w:hint="eastAsia"/>
          <w:sz w:val="28"/>
          <w:szCs w:val="36"/>
        </w:rPr>
        <w:t>3</w:t>
      </w:r>
      <w:r w:rsidRPr="008C0311">
        <w:rPr>
          <w:rFonts w:hint="eastAsia"/>
          <w:sz w:val="28"/>
          <w:szCs w:val="36"/>
        </w:rPr>
        <w:t>、方案规划合理。成片开发范围内基础设施、公共服务设施以及其他公益性用地比例</w:t>
      </w:r>
      <w:r w:rsidRPr="008C0311">
        <w:rPr>
          <w:rFonts w:hint="eastAsia"/>
          <w:sz w:val="28"/>
          <w:szCs w:val="36"/>
        </w:rPr>
        <w:t>49.15%</w:t>
      </w:r>
      <w:r w:rsidRPr="008C0311">
        <w:rPr>
          <w:rFonts w:hint="eastAsia"/>
          <w:sz w:val="28"/>
          <w:szCs w:val="36"/>
        </w:rPr>
        <w:t>，不低于</w:t>
      </w:r>
      <w:r w:rsidRPr="008C0311">
        <w:rPr>
          <w:rFonts w:hint="eastAsia"/>
          <w:sz w:val="28"/>
          <w:szCs w:val="36"/>
        </w:rPr>
        <w:t>40%</w:t>
      </w:r>
      <w:r w:rsidRPr="008C0311">
        <w:rPr>
          <w:rFonts w:hint="eastAsia"/>
          <w:sz w:val="28"/>
          <w:szCs w:val="36"/>
        </w:rPr>
        <w:t>，符合自然资源部《土地征收成片开发标准》的要求，范围划定合理。成片开发确定的主导用途及功能符合仙游县现行国民经济和社会发展规划的发展定位和要求，且已纳入仙游县</w:t>
      </w:r>
      <w:r w:rsidRPr="008C0311">
        <w:rPr>
          <w:rFonts w:hint="eastAsia"/>
          <w:sz w:val="28"/>
          <w:szCs w:val="36"/>
        </w:rPr>
        <w:t>2021</w:t>
      </w:r>
      <w:r w:rsidRPr="008C0311">
        <w:rPr>
          <w:rFonts w:hint="eastAsia"/>
          <w:sz w:val="28"/>
          <w:szCs w:val="36"/>
        </w:rPr>
        <w:t>年国民经济和社会发展年度计划，地块用途及指标控制符合控制性详细规划的要求，范围合法合规。</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功能分析</w:t>
      </w:r>
    </w:p>
    <w:p w:rsidR="004B171B" w:rsidRPr="00632C95" w:rsidRDefault="008C0311" w:rsidP="00EF405E">
      <w:pPr>
        <w:ind w:firstLine="560"/>
        <w:rPr>
          <w:rFonts w:ascii="Times New Roman Regular" w:hAnsi="Times New Roman Regular" w:cs="Times New Roman Regular"/>
          <w:sz w:val="28"/>
          <w:szCs w:val="28"/>
        </w:rPr>
      </w:pPr>
      <w:r w:rsidRPr="008C0311">
        <w:rPr>
          <w:rFonts w:ascii="Times New Roman Regular" w:hAnsi="Times New Roman Regular" w:cs="Times New Roman Regular" w:hint="eastAsia"/>
          <w:sz w:val="28"/>
          <w:szCs w:val="28"/>
        </w:rPr>
        <w:t>本方案共</w:t>
      </w:r>
      <w:r w:rsidRPr="008C0311">
        <w:rPr>
          <w:rFonts w:ascii="Times New Roman Regular" w:hAnsi="Times New Roman Regular" w:cs="Times New Roman Regular" w:hint="eastAsia"/>
          <w:sz w:val="28"/>
          <w:szCs w:val="28"/>
        </w:rPr>
        <w:t>17</w:t>
      </w:r>
      <w:r w:rsidRPr="008C0311">
        <w:rPr>
          <w:rFonts w:ascii="Times New Roman Regular" w:hAnsi="Times New Roman Regular" w:cs="Times New Roman Regular" w:hint="eastAsia"/>
          <w:sz w:val="28"/>
          <w:szCs w:val="28"/>
        </w:rPr>
        <w:t>个地块，用地总面积</w:t>
      </w:r>
      <w:r w:rsidRPr="008C0311">
        <w:rPr>
          <w:rFonts w:ascii="Times New Roman Regular" w:hAnsi="Times New Roman Regular" w:cs="Times New Roman Regular" w:hint="eastAsia"/>
          <w:sz w:val="28"/>
          <w:szCs w:val="28"/>
        </w:rPr>
        <w:t>10.7771</w:t>
      </w:r>
      <w:r w:rsidRPr="008C0311">
        <w:rPr>
          <w:rFonts w:ascii="Times New Roman Regular" w:hAnsi="Times New Roman Regular" w:cs="Times New Roman Regular" w:hint="eastAsia"/>
          <w:sz w:val="28"/>
          <w:szCs w:val="28"/>
        </w:rPr>
        <w:t>公顷，主要用途为居住用地、绿地与开敞空间用地、公共管理与公共服务用地、公用设施</w:t>
      </w:r>
      <w:r w:rsidRPr="008C0311">
        <w:rPr>
          <w:rFonts w:ascii="Times New Roman Regular" w:hAnsi="Times New Roman Regular" w:cs="Times New Roman Regular" w:hint="eastAsia"/>
          <w:sz w:val="28"/>
          <w:szCs w:val="28"/>
        </w:rPr>
        <w:lastRenderedPageBreak/>
        <w:t>用地和交通运输用地等。其中居住用地</w:t>
      </w:r>
      <w:r w:rsidRPr="008C0311">
        <w:rPr>
          <w:rFonts w:ascii="Times New Roman Regular" w:hAnsi="Times New Roman Regular" w:cs="Times New Roman Regular" w:hint="eastAsia"/>
          <w:sz w:val="28"/>
          <w:szCs w:val="28"/>
        </w:rPr>
        <w:t>3</w:t>
      </w:r>
      <w:r w:rsidRPr="008C0311">
        <w:rPr>
          <w:rFonts w:ascii="Times New Roman Regular" w:hAnsi="Times New Roman Regular" w:cs="Times New Roman Regular" w:hint="eastAsia"/>
          <w:sz w:val="28"/>
          <w:szCs w:val="28"/>
        </w:rPr>
        <w:t>个地块，面积</w:t>
      </w:r>
      <w:r w:rsidRPr="008C0311">
        <w:rPr>
          <w:rFonts w:ascii="Times New Roman Regular" w:hAnsi="Times New Roman Regular" w:cs="Times New Roman Regular" w:hint="eastAsia"/>
          <w:sz w:val="28"/>
          <w:szCs w:val="28"/>
        </w:rPr>
        <w:t>5.4802</w:t>
      </w:r>
      <w:r w:rsidRPr="008C0311">
        <w:rPr>
          <w:rFonts w:ascii="Times New Roman Regular" w:hAnsi="Times New Roman Regular" w:cs="Times New Roman Regular" w:hint="eastAsia"/>
          <w:sz w:val="28"/>
          <w:szCs w:val="28"/>
        </w:rPr>
        <w:t>公顷，用于周边群众生活居住用途；绿地与开敞空间用地</w:t>
      </w:r>
      <w:r w:rsidRPr="008C0311">
        <w:rPr>
          <w:rFonts w:ascii="Times New Roman Regular" w:hAnsi="Times New Roman Regular" w:cs="Times New Roman Regular" w:hint="eastAsia"/>
          <w:sz w:val="28"/>
          <w:szCs w:val="28"/>
        </w:rPr>
        <w:t>6</w:t>
      </w:r>
      <w:r w:rsidRPr="008C0311">
        <w:rPr>
          <w:rFonts w:ascii="Times New Roman Regular" w:hAnsi="Times New Roman Regular" w:cs="Times New Roman Regular" w:hint="eastAsia"/>
          <w:sz w:val="28"/>
          <w:szCs w:val="28"/>
        </w:rPr>
        <w:t>个地块，面积</w:t>
      </w:r>
      <w:r w:rsidRPr="008C0311">
        <w:rPr>
          <w:rFonts w:ascii="Times New Roman Regular" w:hAnsi="Times New Roman Regular" w:cs="Times New Roman Regular" w:hint="eastAsia"/>
          <w:sz w:val="28"/>
          <w:szCs w:val="28"/>
        </w:rPr>
        <w:t>0.8904</w:t>
      </w:r>
      <w:r w:rsidRPr="008C0311">
        <w:rPr>
          <w:rFonts w:ascii="Times New Roman Regular" w:hAnsi="Times New Roman Regular" w:cs="Times New Roman Regular" w:hint="eastAsia"/>
          <w:sz w:val="28"/>
          <w:szCs w:val="28"/>
        </w:rPr>
        <w:t>公顷，用于休闲游憩场所使用；公共管理与公共服务用地</w:t>
      </w:r>
      <w:r w:rsidRPr="008C0311">
        <w:rPr>
          <w:rFonts w:ascii="Times New Roman Regular" w:hAnsi="Times New Roman Regular" w:cs="Times New Roman Regular" w:hint="eastAsia"/>
          <w:sz w:val="28"/>
          <w:szCs w:val="28"/>
        </w:rPr>
        <w:t>3</w:t>
      </w:r>
      <w:r w:rsidRPr="008C0311">
        <w:rPr>
          <w:rFonts w:ascii="Times New Roman Regular" w:hAnsi="Times New Roman Regular" w:cs="Times New Roman Regular" w:hint="eastAsia"/>
          <w:sz w:val="28"/>
          <w:szCs w:val="28"/>
        </w:rPr>
        <w:t>个地块，面积</w:t>
      </w:r>
      <w:r w:rsidRPr="008C0311">
        <w:rPr>
          <w:rFonts w:ascii="Times New Roman Regular" w:hAnsi="Times New Roman Regular" w:cs="Times New Roman Regular" w:hint="eastAsia"/>
          <w:sz w:val="28"/>
          <w:szCs w:val="28"/>
        </w:rPr>
        <w:t>2.3048</w:t>
      </w:r>
      <w:r w:rsidRPr="008C0311">
        <w:rPr>
          <w:rFonts w:ascii="Times New Roman Regular" w:hAnsi="Times New Roman Regular" w:cs="Times New Roman Regular" w:hint="eastAsia"/>
          <w:sz w:val="28"/>
          <w:szCs w:val="28"/>
        </w:rPr>
        <w:t>公顷，用于机关团体办公以及发展教育用地等；公用设施用地</w:t>
      </w:r>
      <w:r w:rsidRPr="008C0311">
        <w:rPr>
          <w:rFonts w:ascii="Times New Roman Regular" w:hAnsi="Times New Roman Regular" w:cs="Times New Roman Regular" w:hint="eastAsia"/>
          <w:sz w:val="28"/>
          <w:szCs w:val="28"/>
        </w:rPr>
        <w:t>1</w:t>
      </w:r>
      <w:r w:rsidRPr="008C0311">
        <w:rPr>
          <w:rFonts w:ascii="Times New Roman Regular" w:hAnsi="Times New Roman Regular" w:cs="Times New Roman Regular" w:hint="eastAsia"/>
          <w:sz w:val="28"/>
          <w:szCs w:val="28"/>
        </w:rPr>
        <w:t>个地块，面积</w:t>
      </w:r>
      <w:r w:rsidRPr="008C0311">
        <w:rPr>
          <w:rFonts w:ascii="Times New Roman Regular" w:hAnsi="Times New Roman Regular" w:cs="Times New Roman Regular" w:hint="eastAsia"/>
          <w:sz w:val="28"/>
          <w:szCs w:val="28"/>
        </w:rPr>
        <w:t>0.3343</w:t>
      </w:r>
      <w:r w:rsidRPr="008C0311">
        <w:rPr>
          <w:rFonts w:ascii="Times New Roman Regular" w:hAnsi="Times New Roman Regular" w:cs="Times New Roman Regular" w:hint="eastAsia"/>
          <w:sz w:val="28"/>
          <w:szCs w:val="28"/>
        </w:rPr>
        <w:t>公顷，用于盖尾邮电局使用；交通运输用地</w:t>
      </w:r>
      <w:r w:rsidRPr="008C0311">
        <w:rPr>
          <w:rFonts w:ascii="Times New Roman Regular" w:hAnsi="Times New Roman Regular" w:cs="Times New Roman Regular" w:hint="eastAsia"/>
          <w:sz w:val="28"/>
          <w:szCs w:val="28"/>
        </w:rPr>
        <w:t>2</w:t>
      </w:r>
      <w:r w:rsidRPr="008C0311">
        <w:rPr>
          <w:rFonts w:ascii="Times New Roman Regular" w:hAnsi="Times New Roman Regular" w:cs="Times New Roman Regular" w:hint="eastAsia"/>
          <w:sz w:val="28"/>
          <w:szCs w:val="28"/>
        </w:rPr>
        <w:t>个地块，面积</w:t>
      </w:r>
      <w:r w:rsidRPr="008C0311">
        <w:rPr>
          <w:rFonts w:ascii="Times New Roman Regular" w:hAnsi="Times New Roman Regular" w:cs="Times New Roman Regular" w:hint="eastAsia"/>
          <w:sz w:val="28"/>
          <w:szCs w:val="28"/>
        </w:rPr>
        <w:t>1.4498</w:t>
      </w:r>
      <w:r w:rsidRPr="008C0311">
        <w:rPr>
          <w:rFonts w:ascii="Times New Roman Regular" w:hAnsi="Times New Roman Regular" w:cs="Times New Roman Regular" w:hint="eastAsia"/>
          <w:sz w:val="28"/>
          <w:szCs w:val="28"/>
        </w:rPr>
        <w:t>公顷，用于片区内部交通使用；陆地水域</w:t>
      </w:r>
      <w:r w:rsidRPr="008C0311">
        <w:rPr>
          <w:rFonts w:ascii="Times New Roman Regular" w:hAnsi="Times New Roman Regular" w:cs="Times New Roman Regular" w:hint="eastAsia"/>
          <w:sz w:val="28"/>
          <w:szCs w:val="28"/>
        </w:rPr>
        <w:t>2</w:t>
      </w:r>
      <w:r w:rsidRPr="008C0311">
        <w:rPr>
          <w:rFonts w:ascii="Times New Roman Regular" w:hAnsi="Times New Roman Regular" w:cs="Times New Roman Regular" w:hint="eastAsia"/>
          <w:sz w:val="28"/>
          <w:szCs w:val="28"/>
        </w:rPr>
        <w:t>个地块，面积</w:t>
      </w:r>
      <w:r w:rsidRPr="008C0311">
        <w:rPr>
          <w:rFonts w:ascii="Times New Roman Regular" w:hAnsi="Times New Roman Regular" w:cs="Times New Roman Regular" w:hint="eastAsia"/>
          <w:sz w:val="28"/>
          <w:szCs w:val="28"/>
        </w:rPr>
        <w:t>0.3176</w:t>
      </w:r>
      <w:r w:rsidRPr="008C0311">
        <w:rPr>
          <w:rFonts w:ascii="Times New Roman Regular" w:hAnsi="Times New Roman Regular" w:cs="Times New Roman Regular" w:hint="eastAsia"/>
          <w:sz w:val="28"/>
          <w:szCs w:val="28"/>
        </w:rPr>
        <w:t>公顷，为河流水面用地。</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项目的公建配比情况</w:t>
      </w:r>
    </w:p>
    <w:p w:rsidR="004B171B" w:rsidRPr="00632C95" w:rsidRDefault="008C0311" w:rsidP="0004323E">
      <w:pPr>
        <w:ind w:firstLine="560"/>
        <w:rPr>
          <w:rFonts w:ascii="Times New Roman Regular" w:hAnsi="Times New Roman Regular" w:cs="Times New Roman Regular"/>
          <w:sz w:val="28"/>
          <w:szCs w:val="28"/>
        </w:rPr>
      </w:pPr>
      <w:r w:rsidRPr="008C0311">
        <w:rPr>
          <w:rFonts w:ascii="Times New Roman Regular" w:hAnsi="Times New Roman Regular" w:cs="Times New Roman Regular" w:hint="eastAsia"/>
          <w:sz w:val="28"/>
          <w:szCs w:val="28"/>
        </w:rPr>
        <w:t>公益性用地包含交通运输用地、绿地与开敞空间用地及公共管理与公共服务用地等，合计</w:t>
      </w:r>
      <w:r w:rsidRPr="008C0311">
        <w:rPr>
          <w:rFonts w:ascii="Times New Roman Regular" w:hAnsi="Times New Roman Regular" w:cs="Times New Roman Regular" w:hint="eastAsia"/>
          <w:sz w:val="28"/>
          <w:szCs w:val="28"/>
        </w:rPr>
        <w:t>5.2969</w:t>
      </w:r>
      <w:r w:rsidRPr="008C0311">
        <w:rPr>
          <w:rFonts w:ascii="Times New Roman Regular" w:hAnsi="Times New Roman Regular" w:cs="Times New Roman Regular" w:hint="eastAsia"/>
          <w:sz w:val="28"/>
          <w:szCs w:val="28"/>
        </w:rPr>
        <w:t>公顷，占用地总面积的</w:t>
      </w:r>
      <w:r w:rsidRPr="008C0311">
        <w:rPr>
          <w:rFonts w:ascii="Times New Roman Regular" w:hAnsi="Times New Roman Regular" w:cs="Times New Roman Regular" w:hint="eastAsia"/>
          <w:sz w:val="28"/>
          <w:szCs w:val="28"/>
        </w:rPr>
        <w:t>49.15%</w:t>
      </w:r>
      <w:r w:rsidR="0004323E" w:rsidRPr="00632C95">
        <w:rPr>
          <w:rFonts w:ascii="Times New Roman Regular" w:hAnsi="Times New Roman Regular" w:cs="Times New Roman Regular" w:hint="eastAsia"/>
          <w:sz w:val="28"/>
          <w:szCs w:val="28"/>
        </w:rPr>
        <w:t>，</w:t>
      </w:r>
      <w:r w:rsidR="0004323E" w:rsidRPr="00632C95">
        <w:rPr>
          <w:rFonts w:ascii="Times New Roman Regular" w:hAnsi="Times New Roman Regular" w:cs="Times New Roman Regular"/>
          <w:sz w:val="28"/>
          <w:szCs w:val="28"/>
        </w:rPr>
        <w:t>符合自然资规〔</w:t>
      </w:r>
      <w:r w:rsidR="0004323E" w:rsidRPr="00632C95">
        <w:rPr>
          <w:rFonts w:ascii="Times New Roman Regular" w:hAnsi="Times New Roman Regular" w:cs="Times New Roman Regular"/>
          <w:sz w:val="28"/>
          <w:szCs w:val="28"/>
        </w:rPr>
        <w:t>2020</w:t>
      </w:r>
      <w:r w:rsidR="0004323E" w:rsidRPr="00632C95">
        <w:rPr>
          <w:rFonts w:ascii="Times New Roman Regular" w:hAnsi="Times New Roman Regular" w:cs="Times New Roman Regular"/>
          <w:sz w:val="28"/>
          <w:szCs w:val="28"/>
        </w:rPr>
        <w:t>〕</w:t>
      </w:r>
      <w:r w:rsidR="0004323E" w:rsidRPr="00632C95">
        <w:rPr>
          <w:rFonts w:ascii="Times New Roman Regular" w:hAnsi="Times New Roman Regular" w:cs="Times New Roman Regular"/>
          <w:sz w:val="28"/>
          <w:szCs w:val="28"/>
        </w:rPr>
        <w:t>5</w:t>
      </w:r>
      <w:r w:rsidR="0004323E" w:rsidRPr="00632C95">
        <w:rPr>
          <w:rFonts w:ascii="Times New Roman Regular" w:hAnsi="Times New Roman Regular" w:cs="Times New Roman Regular"/>
          <w:sz w:val="28"/>
          <w:szCs w:val="28"/>
        </w:rPr>
        <w:t>号文规定。</w:t>
      </w:r>
    </w:p>
    <w:p w:rsidR="004B171B" w:rsidRPr="00632C95" w:rsidRDefault="00156ABB">
      <w:pPr>
        <w:pStyle w:val="1"/>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效益评估</w:t>
      </w:r>
    </w:p>
    <w:p w:rsidR="00837A4F" w:rsidRPr="00837A4F" w:rsidRDefault="00837A4F" w:rsidP="00837A4F">
      <w:pPr>
        <w:rPr>
          <w:rFonts w:ascii="Times New Roman Regular" w:hAnsi="Times New Roman Regular" w:cs="Times New Roman Regular"/>
          <w:sz w:val="28"/>
          <w:szCs w:val="28"/>
        </w:rPr>
      </w:pPr>
      <w:bookmarkStart w:id="6" w:name="_Toc79565292"/>
      <w:r w:rsidRPr="00837A4F">
        <w:rPr>
          <w:rFonts w:ascii="Times New Roman Regular" w:hAnsi="Times New Roman Regular" w:cs="Times New Roman Regular" w:hint="eastAsia"/>
          <w:sz w:val="28"/>
          <w:szCs w:val="28"/>
        </w:rPr>
        <w:t>（一）土地利用效益</w:t>
      </w:r>
      <w:bookmarkEnd w:id="6"/>
    </w:p>
    <w:p w:rsidR="00837A4F" w:rsidRPr="00837A4F" w:rsidRDefault="00837A4F" w:rsidP="00837A4F">
      <w:pPr>
        <w:ind w:firstLine="560"/>
        <w:rPr>
          <w:rFonts w:ascii="Times New Roman Regular" w:hAnsi="Times New Roman Regular" w:cs="Times New Roman Regular"/>
          <w:sz w:val="28"/>
          <w:szCs w:val="28"/>
        </w:rPr>
      </w:pPr>
      <w:bookmarkStart w:id="7" w:name="_Toc79565293"/>
      <w:r w:rsidRPr="00837A4F">
        <w:rPr>
          <w:rFonts w:ascii="Times New Roman Regular" w:hAnsi="Times New Roman Regular" w:cs="Times New Roman Regular" w:hint="eastAsia"/>
          <w:sz w:val="28"/>
          <w:szCs w:val="28"/>
        </w:rPr>
        <w:t>本次成片开发将明显改善居住环境，完善配套设施，增加城市综合承载力，促进土地的集约高效利用，保障居民就地集中，增加公益性基础设施和公共服务设施建设规模。既优化用地结构，科学配置土地资源，又促进土地的集约高效利用，严格控制城市发展规模。并通过转变土地利用方式，提高土地利用强度，促进土地利用效益的不断提升。海江片区土地征收成片开发区域实施过程中将严格按照《仙游县盖尾镇集镇区控制性详细规划》，居住用地：规划商品住宅用地容积率控制指标为：</w:t>
      </w:r>
      <w:r w:rsidRPr="00837A4F">
        <w:rPr>
          <w:rFonts w:ascii="Times New Roman Regular" w:hAnsi="Times New Roman Regular" w:cs="Times New Roman Regular" w:hint="eastAsia"/>
          <w:sz w:val="28"/>
          <w:szCs w:val="28"/>
        </w:rPr>
        <w:t>1.0</w:t>
      </w:r>
      <w:r w:rsidRPr="00837A4F">
        <w:rPr>
          <w:rFonts w:ascii="Times New Roman Regular" w:hAnsi="Times New Roman Regular" w:cs="Times New Roman Regular" w:hint="eastAsia"/>
          <w:sz w:val="28"/>
          <w:szCs w:val="28"/>
        </w:rPr>
        <w:t>＜容积率≤</w:t>
      </w:r>
      <w:r w:rsidRPr="00837A4F">
        <w:rPr>
          <w:rFonts w:ascii="Times New Roman Regular" w:hAnsi="Times New Roman Regular" w:cs="Times New Roman Regular" w:hint="eastAsia"/>
          <w:sz w:val="28"/>
          <w:szCs w:val="28"/>
        </w:rPr>
        <w:t>2.4</w:t>
      </w:r>
      <w:r w:rsidRPr="00837A4F">
        <w:rPr>
          <w:rFonts w:ascii="Times New Roman Regular" w:hAnsi="Times New Roman Regular" w:cs="Times New Roman Regular" w:hint="eastAsia"/>
          <w:sz w:val="28"/>
          <w:szCs w:val="28"/>
        </w:rPr>
        <w:t>，建筑密度≤</w:t>
      </w:r>
      <w:r w:rsidRPr="00837A4F">
        <w:rPr>
          <w:rFonts w:ascii="Times New Roman Regular" w:hAnsi="Times New Roman Regular" w:cs="Times New Roman Regular" w:hint="eastAsia"/>
          <w:sz w:val="28"/>
          <w:szCs w:val="28"/>
        </w:rPr>
        <w:t>30%</w:t>
      </w:r>
      <w:r w:rsidRPr="00837A4F">
        <w:rPr>
          <w:rFonts w:ascii="Times New Roman Regular" w:hAnsi="Times New Roman Regular" w:cs="Times New Roman Regular" w:hint="eastAsia"/>
          <w:sz w:val="28"/>
          <w:szCs w:val="28"/>
        </w:rPr>
        <w:t>；公共服务设施用地：规划公共服务设施用地开发强度控制在</w:t>
      </w:r>
      <w:r w:rsidRPr="00837A4F">
        <w:rPr>
          <w:rFonts w:ascii="Times New Roman Regular" w:hAnsi="Times New Roman Regular" w:cs="Times New Roman Regular" w:hint="eastAsia"/>
          <w:sz w:val="28"/>
          <w:szCs w:val="28"/>
        </w:rPr>
        <w:t>3.0</w:t>
      </w:r>
      <w:r w:rsidRPr="00837A4F">
        <w:rPr>
          <w:rFonts w:ascii="Times New Roman Regular" w:hAnsi="Times New Roman Regular" w:cs="Times New Roman Regular" w:hint="eastAsia"/>
          <w:sz w:val="28"/>
          <w:szCs w:val="28"/>
        </w:rPr>
        <w:t>以下，其中，教</w:t>
      </w:r>
      <w:r w:rsidRPr="00837A4F">
        <w:rPr>
          <w:rFonts w:ascii="Times New Roman Regular" w:hAnsi="Times New Roman Regular" w:cs="Times New Roman Regular" w:hint="eastAsia"/>
          <w:sz w:val="28"/>
          <w:szCs w:val="28"/>
        </w:rPr>
        <w:lastRenderedPageBreak/>
        <w:t>育设施用地容积率控制在</w:t>
      </w:r>
      <w:r w:rsidRPr="00837A4F">
        <w:rPr>
          <w:rFonts w:ascii="Times New Roman Regular" w:hAnsi="Times New Roman Regular" w:cs="Times New Roman Regular" w:hint="eastAsia"/>
          <w:sz w:val="28"/>
          <w:szCs w:val="28"/>
        </w:rPr>
        <w:t>2.5</w:t>
      </w:r>
      <w:r w:rsidRPr="00837A4F">
        <w:rPr>
          <w:rFonts w:ascii="Times New Roman Regular" w:hAnsi="Times New Roman Regular" w:cs="Times New Roman Regular" w:hint="eastAsia"/>
          <w:sz w:val="28"/>
          <w:szCs w:val="28"/>
        </w:rPr>
        <w:t>以下。</w:t>
      </w:r>
      <w:bookmarkEnd w:id="7"/>
    </w:p>
    <w:p w:rsidR="00837A4F" w:rsidRPr="00837A4F" w:rsidRDefault="00837A4F" w:rsidP="00837A4F">
      <w:pPr>
        <w:ind w:firstLine="643"/>
        <w:rPr>
          <w:rFonts w:ascii="Times New Roman Regular" w:hAnsi="Times New Roman Regular" w:cs="Times New Roman Regular"/>
          <w:sz w:val="28"/>
          <w:szCs w:val="28"/>
        </w:rPr>
      </w:pPr>
      <w:bookmarkStart w:id="8" w:name="_Toc79565294"/>
      <w:r w:rsidRPr="00837A4F">
        <w:rPr>
          <w:rFonts w:ascii="Times New Roman Regular" w:hAnsi="Times New Roman Regular" w:cs="Times New Roman Regular" w:hint="eastAsia"/>
          <w:sz w:val="28"/>
          <w:szCs w:val="28"/>
        </w:rPr>
        <w:t>（二）经济效益</w:t>
      </w:r>
      <w:bookmarkEnd w:id="8"/>
    </w:p>
    <w:p w:rsidR="00837A4F" w:rsidRPr="00837A4F" w:rsidRDefault="00837A4F" w:rsidP="00837A4F">
      <w:pPr>
        <w:ind w:firstLine="560"/>
        <w:rPr>
          <w:rFonts w:ascii="Times New Roman Regular" w:hAnsi="Times New Roman Regular" w:cs="Times New Roman Regular"/>
          <w:sz w:val="28"/>
          <w:szCs w:val="28"/>
        </w:rPr>
      </w:pPr>
      <w:bookmarkStart w:id="9" w:name="_Toc79565295"/>
      <w:r w:rsidRPr="00837A4F">
        <w:rPr>
          <w:rFonts w:ascii="Times New Roman Regular" w:hAnsi="Times New Roman Regular" w:cs="Times New Roman Regular" w:hint="eastAsia"/>
          <w:sz w:val="28"/>
          <w:szCs w:val="28"/>
        </w:rPr>
        <w:t>上湖片区的建设有利于推动盖尾镇镇区人口集中集聚，充分利用镇区现有较成熟的配套基础设施条件，推动盖尾镇实现产城融合发展。本方案用地面积</w:t>
      </w:r>
      <w:r w:rsidRPr="00837A4F">
        <w:rPr>
          <w:rFonts w:ascii="Times New Roman Regular" w:hAnsi="Times New Roman Regular" w:cs="Times New Roman Regular" w:hint="eastAsia"/>
          <w:sz w:val="28"/>
          <w:szCs w:val="28"/>
        </w:rPr>
        <w:t>16.5382</w:t>
      </w:r>
      <w:r w:rsidRPr="00837A4F">
        <w:rPr>
          <w:rFonts w:ascii="Times New Roman Regular" w:hAnsi="Times New Roman Regular" w:cs="Times New Roman Regular" w:hint="eastAsia"/>
          <w:sz w:val="28"/>
          <w:szCs w:val="28"/>
        </w:rPr>
        <w:t>公顷，其中：可经营性住宅用地</w:t>
      </w:r>
      <w:r w:rsidRPr="00837A4F">
        <w:rPr>
          <w:rFonts w:ascii="Times New Roman Regular" w:hAnsi="Times New Roman Regular" w:cs="Times New Roman Regular" w:hint="eastAsia"/>
          <w:sz w:val="28"/>
          <w:szCs w:val="28"/>
        </w:rPr>
        <w:t>5.7894</w:t>
      </w:r>
      <w:r w:rsidRPr="00837A4F">
        <w:rPr>
          <w:rFonts w:ascii="Times New Roman Regular" w:hAnsi="Times New Roman Regular" w:cs="Times New Roman Regular" w:hint="eastAsia"/>
          <w:sz w:val="28"/>
          <w:szCs w:val="28"/>
        </w:rPr>
        <w:t>公顷、商服用地</w:t>
      </w:r>
      <w:r w:rsidRPr="00837A4F">
        <w:rPr>
          <w:rFonts w:ascii="Times New Roman Regular" w:hAnsi="Times New Roman Regular" w:cs="Times New Roman Regular" w:hint="eastAsia"/>
          <w:sz w:val="28"/>
          <w:szCs w:val="28"/>
        </w:rPr>
        <w:t>1.5634</w:t>
      </w:r>
      <w:r w:rsidRPr="00837A4F">
        <w:rPr>
          <w:rFonts w:ascii="Times New Roman Regular" w:hAnsi="Times New Roman Regular" w:cs="Times New Roman Regular" w:hint="eastAsia"/>
          <w:sz w:val="28"/>
          <w:szCs w:val="28"/>
        </w:rPr>
        <w:t>公顷，合计</w:t>
      </w:r>
      <w:r w:rsidRPr="00837A4F">
        <w:rPr>
          <w:rFonts w:ascii="Times New Roman Regular" w:hAnsi="Times New Roman Regular" w:cs="Times New Roman Regular" w:hint="eastAsia"/>
          <w:sz w:val="28"/>
          <w:szCs w:val="28"/>
        </w:rPr>
        <w:t>7.3528</w:t>
      </w:r>
      <w:r w:rsidRPr="00837A4F">
        <w:rPr>
          <w:rFonts w:ascii="Times New Roman Regular" w:hAnsi="Times New Roman Regular" w:cs="Times New Roman Regular" w:hint="eastAsia"/>
          <w:sz w:val="28"/>
          <w:szCs w:val="28"/>
        </w:rPr>
        <w:t>公顷。其中，商品房（毛坯）最高限制销售均价为</w:t>
      </w:r>
      <w:r w:rsidRPr="00837A4F">
        <w:rPr>
          <w:rFonts w:ascii="Times New Roman Regular" w:hAnsi="Times New Roman Regular" w:cs="Times New Roman Regular" w:hint="eastAsia"/>
          <w:sz w:val="28"/>
          <w:szCs w:val="28"/>
        </w:rPr>
        <w:t>6000</w:t>
      </w:r>
      <w:r w:rsidRPr="00837A4F">
        <w:rPr>
          <w:rFonts w:ascii="Times New Roman Regular" w:hAnsi="Times New Roman Regular" w:cs="Times New Roman Regular" w:hint="eastAsia"/>
          <w:sz w:val="28"/>
          <w:szCs w:val="28"/>
        </w:rPr>
        <w:t>元</w:t>
      </w:r>
      <w:r w:rsidRPr="00837A4F">
        <w:rPr>
          <w:rFonts w:ascii="Times New Roman Regular" w:hAnsi="Times New Roman Regular" w:cs="Times New Roman Regular" w:hint="eastAsia"/>
          <w:sz w:val="28"/>
          <w:szCs w:val="28"/>
        </w:rPr>
        <w:t>/</w:t>
      </w:r>
      <w:r w:rsidRPr="00837A4F">
        <w:rPr>
          <w:rFonts w:ascii="Times New Roman Regular" w:hAnsi="Times New Roman Regular" w:cs="Times New Roman Regular" w:hint="eastAsia"/>
          <w:sz w:val="28"/>
          <w:szCs w:val="28"/>
        </w:rPr>
        <w:t>平方米，以标准容积率</w:t>
      </w:r>
      <w:r w:rsidRPr="00837A4F">
        <w:rPr>
          <w:rFonts w:ascii="Times New Roman Regular" w:hAnsi="Times New Roman Regular" w:cs="Times New Roman Regular" w:hint="eastAsia"/>
          <w:sz w:val="28"/>
          <w:szCs w:val="28"/>
        </w:rPr>
        <w:t>2.4</w:t>
      </w:r>
      <w:r w:rsidRPr="00837A4F">
        <w:rPr>
          <w:rFonts w:ascii="Times New Roman Regular" w:hAnsi="Times New Roman Regular" w:cs="Times New Roman Regular" w:hint="eastAsia"/>
          <w:sz w:val="28"/>
          <w:szCs w:val="28"/>
        </w:rPr>
        <w:t>并结合各地块实际容积率倒推楼面价，本次成片开发项目实施后房产预计直接销售额达</w:t>
      </w:r>
      <w:r w:rsidRPr="00837A4F">
        <w:rPr>
          <w:rFonts w:ascii="Times New Roman Regular" w:hAnsi="Times New Roman Regular" w:cs="Times New Roman Regular" w:hint="eastAsia"/>
          <w:sz w:val="28"/>
          <w:szCs w:val="28"/>
        </w:rPr>
        <w:t>45.1</w:t>
      </w:r>
      <w:r w:rsidRPr="00837A4F">
        <w:rPr>
          <w:rFonts w:ascii="Times New Roman Regular" w:hAnsi="Times New Roman Regular" w:cs="Times New Roman Regular" w:hint="eastAsia"/>
          <w:sz w:val="28"/>
          <w:szCs w:val="28"/>
        </w:rPr>
        <w:t>亿元，整体收益较为可观，为城镇发展储蓄了后备力量，增强区域竞争力，为台商投资区经济的可持续、高质量发展与防范金融风险的能力提供坚实的后盾。同时预计可实现包括契税、土地增值税、企业所得税、印花税及城建税等在内的各项税收及其他房地产相关费用等约</w:t>
      </w:r>
      <w:r w:rsidRPr="00837A4F">
        <w:rPr>
          <w:rFonts w:ascii="Times New Roman Regular" w:hAnsi="Times New Roman Regular" w:cs="Times New Roman Regular" w:hint="eastAsia"/>
          <w:sz w:val="28"/>
          <w:szCs w:val="28"/>
        </w:rPr>
        <w:t>5</w:t>
      </w:r>
      <w:r w:rsidRPr="00837A4F">
        <w:rPr>
          <w:rFonts w:ascii="Times New Roman Regular" w:hAnsi="Times New Roman Regular" w:cs="Times New Roman Regular" w:hint="eastAsia"/>
          <w:sz w:val="28"/>
          <w:szCs w:val="28"/>
        </w:rPr>
        <w:t>亿元，带来新的税收增长点。</w:t>
      </w:r>
      <w:bookmarkEnd w:id="9"/>
    </w:p>
    <w:p w:rsidR="00837A4F" w:rsidRPr="00837A4F" w:rsidRDefault="00837A4F" w:rsidP="00837A4F">
      <w:pPr>
        <w:ind w:firstLine="643"/>
        <w:rPr>
          <w:rFonts w:ascii="Times New Roman Regular" w:hAnsi="Times New Roman Regular" w:cs="Times New Roman Regular"/>
          <w:sz w:val="28"/>
          <w:szCs w:val="28"/>
        </w:rPr>
      </w:pPr>
      <w:bookmarkStart w:id="10" w:name="_Toc79565296"/>
      <w:r w:rsidRPr="00837A4F">
        <w:rPr>
          <w:rFonts w:ascii="Times New Roman Regular" w:hAnsi="Times New Roman Regular" w:cs="Times New Roman Regular" w:hint="eastAsia"/>
          <w:sz w:val="28"/>
          <w:szCs w:val="28"/>
        </w:rPr>
        <w:t>（三）社会</w:t>
      </w:r>
      <w:r w:rsidRPr="00837A4F">
        <w:rPr>
          <w:rFonts w:ascii="Times New Roman Regular" w:hAnsi="Times New Roman Regular" w:cs="Times New Roman Regular"/>
          <w:sz w:val="28"/>
          <w:szCs w:val="28"/>
        </w:rPr>
        <w:t>效益</w:t>
      </w:r>
      <w:bookmarkEnd w:id="10"/>
    </w:p>
    <w:p w:rsidR="00837A4F" w:rsidRPr="00837A4F" w:rsidRDefault="00837A4F" w:rsidP="00837A4F">
      <w:pPr>
        <w:ind w:firstLine="560"/>
        <w:rPr>
          <w:rFonts w:ascii="Times New Roman Regular" w:hAnsi="Times New Roman Regular" w:cs="Times New Roman Regular"/>
          <w:sz w:val="28"/>
          <w:szCs w:val="28"/>
        </w:rPr>
      </w:pPr>
      <w:bookmarkStart w:id="11" w:name="_Toc79565297"/>
      <w:r w:rsidRPr="00837A4F">
        <w:rPr>
          <w:rFonts w:ascii="Times New Roman Regular" w:hAnsi="Times New Roman Regular" w:cs="Times New Roman Regular" w:hint="eastAsia"/>
          <w:sz w:val="28"/>
          <w:szCs w:val="28"/>
        </w:rPr>
        <w:t>上湖片区的顺利开展将有力的推动郊尾镇甚至整个仙游县的发展。同时对促进区域经济发展具有深远影响，可普遍增加当地居民收入，促进当地商贸经济发展，提高生活水平，带动建筑业、建材业、房地产业、商业和服务业的发展，创造更多的就业机会。通过本项目开发，上湖片区预计容纳人口约</w:t>
      </w:r>
      <w:r w:rsidRPr="00837A4F">
        <w:rPr>
          <w:rFonts w:ascii="Times New Roman Regular" w:hAnsi="Times New Roman Regular" w:cs="Times New Roman Regular" w:hint="eastAsia"/>
          <w:sz w:val="28"/>
          <w:szCs w:val="28"/>
        </w:rPr>
        <w:t>5</w:t>
      </w:r>
      <w:r w:rsidRPr="00837A4F">
        <w:rPr>
          <w:rFonts w:ascii="Times New Roman Regular" w:hAnsi="Times New Roman Regular" w:cs="Times New Roman Regular" w:hint="eastAsia"/>
          <w:sz w:val="28"/>
          <w:szCs w:val="28"/>
        </w:rPr>
        <w:t>万人，同时为区域内居住人口及企业单位创造更好的生活生产环境。项目实施可带动教育、文化以及娱乐设施的建设，片区内现有所完全中学—盖尾中学，办学规模为初中</w:t>
      </w:r>
      <w:r w:rsidRPr="00837A4F">
        <w:rPr>
          <w:rFonts w:ascii="Times New Roman Regular" w:hAnsi="Times New Roman Regular" w:cs="Times New Roman Regular" w:hint="eastAsia"/>
          <w:sz w:val="28"/>
          <w:szCs w:val="28"/>
        </w:rPr>
        <w:t>14</w:t>
      </w:r>
      <w:r w:rsidRPr="00837A4F">
        <w:rPr>
          <w:rFonts w:ascii="Times New Roman Regular" w:hAnsi="Times New Roman Regular" w:cs="Times New Roman Regular" w:hint="eastAsia"/>
          <w:sz w:val="28"/>
          <w:szCs w:val="28"/>
        </w:rPr>
        <w:t>班，高中</w:t>
      </w:r>
      <w:r w:rsidRPr="00837A4F">
        <w:rPr>
          <w:rFonts w:ascii="Times New Roman Regular" w:hAnsi="Times New Roman Regular" w:cs="Times New Roman Regular" w:hint="eastAsia"/>
          <w:sz w:val="28"/>
          <w:szCs w:val="28"/>
        </w:rPr>
        <w:t>33</w:t>
      </w:r>
      <w:r w:rsidRPr="00837A4F">
        <w:rPr>
          <w:rFonts w:ascii="Times New Roman Regular" w:hAnsi="Times New Roman Regular" w:cs="Times New Roman Regular" w:hint="eastAsia"/>
          <w:sz w:val="28"/>
          <w:szCs w:val="28"/>
        </w:rPr>
        <w:t>班，成片开发将在中学原址进行扩建，规模规模为初</w:t>
      </w:r>
      <w:r w:rsidRPr="00837A4F">
        <w:rPr>
          <w:rFonts w:ascii="Times New Roman Regular" w:hAnsi="Times New Roman Regular" w:cs="Times New Roman Regular" w:hint="eastAsia"/>
          <w:sz w:val="28"/>
          <w:szCs w:val="28"/>
        </w:rPr>
        <w:lastRenderedPageBreak/>
        <w:t>中</w:t>
      </w:r>
      <w:r w:rsidRPr="00837A4F">
        <w:rPr>
          <w:rFonts w:ascii="Times New Roman Regular" w:hAnsi="Times New Roman Regular" w:cs="Times New Roman Regular" w:hint="eastAsia"/>
          <w:sz w:val="28"/>
          <w:szCs w:val="28"/>
        </w:rPr>
        <w:t>18</w:t>
      </w:r>
      <w:r w:rsidRPr="00837A4F">
        <w:rPr>
          <w:rFonts w:ascii="Times New Roman Regular" w:hAnsi="Times New Roman Regular" w:cs="Times New Roman Regular" w:hint="eastAsia"/>
          <w:sz w:val="28"/>
          <w:szCs w:val="28"/>
        </w:rPr>
        <w:t>班，高中</w:t>
      </w:r>
      <w:r w:rsidRPr="00837A4F">
        <w:rPr>
          <w:rFonts w:ascii="Times New Roman Regular" w:hAnsi="Times New Roman Regular" w:cs="Times New Roman Regular" w:hint="eastAsia"/>
          <w:sz w:val="28"/>
          <w:szCs w:val="28"/>
        </w:rPr>
        <w:t>36</w:t>
      </w:r>
      <w:r w:rsidRPr="00837A4F">
        <w:rPr>
          <w:rFonts w:ascii="Times New Roman Regular" w:hAnsi="Times New Roman Regular" w:cs="Times New Roman Regular" w:hint="eastAsia"/>
          <w:sz w:val="28"/>
          <w:szCs w:val="28"/>
        </w:rPr>
        <w:t>班。扩建后的盖尾中学将在一定程度上进一步提高当地人民的文化水平。同时项目将完善周边道路、供水、排水、供电、供暖、燃气、通讯管网等基础设施的建设。</w:t>
      </w:r>
      <w:bookmarkEnd w:id="11"/>
    </w:p>
    <w:p w:rsidR="00837A4F" w:rsidRPr="00837A4F" w:rsidRDefault="00837A4F" w:rsidP="00837A4F">
      <w:pPr>
        <w:ind w:firstLine="643"/>
        <w:rPr>
          <w:rFonts w:ascii="Times New Roman Regular" w:hAnsi="Times New Roman Regular" w:cs="Times New Roman Regular"/>
          <w:sz w:val="28"/>
          <w:szCs w:val="28"/>
        </w:rPr>
      </w:pPr>
      <w:bookmarkStart w:id="12" w:name="_Toc79565298"/>
      <w:r w:rsidRPr="00837A4F">
        <w:rPr>
          <w:rFonts w:ascii="Times New Roman Regular" w:hAnsi="Times New Roman Regular" w:cs="Times New Roman Regular" w:hint="eastAsia"/>
          <w:sz w:val="28"/>
          <w:szCs w:val="28"/>
        </w:rPr>
        <w:t>（四）生态</w:t>
      </w:r>
      <w:r w:rsidRPr="00837A4F">
        <w:rPr>
          <w:rFonts w:ascii="Times New Roman Regular" w:hAnsi="Times New Roman Regular" w:cs="Times New Roman Regular"/>
          <w:sz w:val="28"/>
          <w:szCs w:val="28"/>
        </w:rPr>
        <w:t>效益</w:t>
      </w:r>
      <w:bookmarkEnd w:id="12"/>
    </w:p>
    <w:p w:rsidR="00F431BE" w:rsidRPr="00837A4F" w:rsidRDefault="00837A4F" w:rsidP="00837A4F">
      <w:pPr>
        <w:ind w:firstLine="560"/>
        <w:rPr>
          <w:rFonts w:ascii="Times New Roman Regular" w:hAnsi="Times New Roman Regular" w:cs="Times New Roman Regular"/>
          <w:sz w:val="28"/>
          <w:szCs w:val="28"/>
        </w:rPr>
      </w:pPr>
      <w:bookmarkStart w:id="13" w:name="_Toc79565299"/>
      <w:r w:rsidRPr="00837A4F">
        <w:rPr>
          <w:rFonts w:ascii="Times New Roman Regular" w:hAnsi="Times New Roman Regular" w:cs="Times New Roman Regular" w:hint="eastAsia"/>
          <w:sz w:val="28"/>
          <w:szCs w:val="28"/>
        </w:rPr>
        <w:t>近年来，随着城市化进程的加速、人口的增多和环境的恶化，已越来越认识到加强绿化生态建设对促进经济可持续发展战略的重要性。同时，随着城市建设向生态、绿色、环保型发展，公共绿地成为环境建设越来越成为城镇建设重要的组成部分。本次成片开发范围规划各类绿地与开敞空间用地面积</w:t>
      </w:r>
      <w:r w:rsidRPr="00837A4F">
        <w:rPr>
          <w:rFonts w:ascii="Times New Roman Regular" w:hAnsi="Times New Roman Regular" w:cs="Times New Roman Regular" w:hint="eastAsia"/>
          <w:sz w:val="28"/>
          <w:szCs w:val="28"/>
        </w:rPr>
        <w:t>0.8904</w:t>
      </w:r>
      <w:r w:rsidRPr="00837A4F">
        <w:rPr>
          <w:rFonts w:ascii="Times New Roman Regular" w:hAnsi="Times New Roman Regular" w:cs="Times New Roman Regular" w:hint="eastAsia"/>
          <w:sz w:val="28"/>
          <w:szCs w:val="28"/>
        </w:rPr>
        <w:t>公顷，占片区城镇建设用地比例</w:t>
      </w:r>
      <w:r w:rsidRPr="00837A4F">
        <w:rPr>
          <w:rFonts w:ascii="Times New Roman Regular" w:hAnsi="Times New Roman Regular" w:cs="Times New Roman Regular" w:hint="eastAsia"/>
          <w:sz w:val="28"/>
          <w:szCs w:val="28"/>
        </w:rPr>
        <w:t>8.26%</w:t>
      </w:r>
      <w:r w:rsidRPr="00837A4F">
        <w:rPr>
          <w:rFonts w:ascii="Times New Roman Regular" w:hAnsi="Times New Roman Regular" w:cs="Times New Roman Regular" w:hint="eastAsia"/>
          <w:sz w:val="28"/>
          <w:szCs w:val="28"/>
        </w:rPr>
        <w:t>，在保障防护绿地的基础上，规划集中式公园绿地，建设都市绿芯，既改善了片区内的生态景观，又改善周边居民的生活环境。本次成片开发在项目开发建设前，将进行环境影响初步分析，并依法开展与地表水环境影响相关评价，编制地表水环境监测计划，制定地表水环境保护措施。根据环境保护法等有关规定，认真落实各项污染治理措施，确保片区的开发建设不会对地表水造成负面影响。土地开发、利用、规划、建设等过程中严格按照相关法律法规积极落实水环境保护措施，确保满足周边及下游水环境质量和安全要求，保护岸线自然生态，统筹规划生产生活污水治理及污染防治措施，加强监督管理，减轻临海开发建设对海洋生态环境的影响。对于涉及用途变更为住宅、公共管理与公共服务用地的，将在变更前依法进行土壤污染状况调查，确保符合规划用途土壤环境质量要求等内容。同时将依照《中华人民共和国土壤污染防治法》相关规定，对开发建设过程中剥离的</w:t>
      </w:r>
      <w:r w:rsidRPr="00837A4F">
        <w:rPr>
          <w:rFonts w:ascii="Times New Roman Regular" w:hAnsi="Times New Roman Regular" w:cs="Times New Roman Regular" w:hint="eastAsia"/>
          <w:sz w:val="28"/>
          <w:szCs w:val="28"/>
        </w:rPr>
        <w:lastRenderedPageBreak/>
        <w:t>表土，应当单独收集和存放，符合条件的应当优先用于土地复垦、土壤改良、造地和绿化等；禁止将重金属或者其他有毒害物质含量超标的工业固体废物、生活垃圾或者污染土壤用于土地复垦。</w:t>
      </w:r>
      <w:bookmarkEnd w:id="13"/>
    </w:p>
    <w:p w:rsidR="004B171B" w:rsidRPr="00632C95" w:rsidRDefault="00156ABB">
      <w:pPr>
        <w:pStyle w:val="10"/>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永久基本农田及生态保护情况</w:t>
      </w:r>
    </w:p>
    <w:p w:rsidR="004B171B" w:rsidRPr="00632C95" w:rsidRDefault="00156ABB">
      <w:pPr>
        <w:pStyle w:val="10"/>
        <w:ind w:firstLine="560"/>
        <w:rPr>
          <w:rFonts w:ascii="宋体" w:eastAsia="宋体" w:hAnsi="宋体"/>
          <w:sz w:val="28"/>
          <w:szCs w:val="28"/>
        </w:rPr>
      </w:pPr>
      <w:r w:rsidRPr="00632C95">
        <w:rPr>
          <w:rFonts w:ascii="宋体" w:eastAsia="宋体" w:hAnsi="宋体" w:hint="eastAsia"/>
          <w:sz w:val="28"/>
          <w:szCs w:val="28"/>
        </w:rPr>
        <w:t>成片开发区域范围不涉及永久基本农田、生态保护红线和自</w:t>
      </w:r>
      <w:r w:rsidRPr="00632C95">
        <w:rPr>
          <w:rFonts w:ascii="宋体" w:eastAsia="宋体" w:hAnsi="宋体"/>
          <w:sz w:val="28"/>
          <w:szCs w:val="28"/>
        </w:rPr>
        <w:t>然保护区，未涉及禁止建设区域。</w:t>
      </w:r>
    </w:p>
    <w:p w:rsidR="004B171B" w:rsidRPr="00632C95" w:rsidRDefault="00156ABB">
      <w:pPr>
        <w:pStyle w:val="10"/>
        <w:numPr>
          <w:ilvl w:val="0"/>
          <w:numId w:val="1"/>
        </w:numPr>
        <w:ind w:firstLineChars="0"/>
        <w:rPr>
          <w:rFonts w:ascii="宋体" w:eastAsia="宋体" w:hAnsi="宋体"/>
          <w:b/>
          <w:bCs/>
          <w:sz w:val="28"/>
          <w:szCs w:val="28"/>
        </w:rPr>
      </w:pPr>
      <w:r w:rsidRPr="00632C95">
        <w:rPr>
          <w:rFonts w:ascii="宋体" w:eastAsia="宋体" w:hAnsi="宋体" w:hint="eastAsia"/>
          <w:b/>
          <w:bCs/>
          <w:sz w:val="28"/>
          <w:szCs w:val="28"/>
        </w:rPr>
        <w:t>结论</w:t>
      </w:r>
    </w:p>
    <w:p w:rsidR="004B171B" w:rsidRPr="00632C95" w:rsidRDefault="00156ABB">
      <w:pPr>
        <w:pStyle w:val="10"/>
        <w:ind w:firstLine="560"/>
        <w:rPr>
          <w:rFonts w:ascii="宋体" w:eastAsia="宋体" w:hAnsi="宋体"/>
          <w:sz w:val="28"/>
          <w:szCs w:val="28"/>
        </w:rPr>
      </w:pPr>
      <w:r w:rsidRPr="00632C95">
        <w:rPr>
          <w:rFonts w:ascii="宋体" w:eastAsia="宋体" w:hAnsi="宋体" w:hint="eastAsia"/>
          <w:sz w:val="28"/>
          <w:szCs w:val="28"/>
        </w:rPr>
        <w:t>《</w:t>
      </w:r>
      <w:r w:rsidR="007D6259" w:rsidRPr="001E59CC">
        <w:rPr>
          <w:rFonts w:ascii="宋体" w:eastAsia="宋体" w:hAnsi="宋体" w:hint="eastAsia"/>
          <w:sz w:val="28"/>
          <w:szCs w:val="28"/>
        </w:rPr>
        <w:t>仙游盖尾上湖片区</w:t>
      </w:r>
      <w:r w:rsidR="005356EE" w:rsidRPr="00632C95">
        <w:rPr>
          <w:rFonts w:ascii="宋体" w:eastAsia="宋体" w:hAnsi="宋体" w:hint="eastAsia"/>
          <w:sz w:val="28"/>
          <w:szCs w:val="28"/>
        </w:rPr>
        <w:t>土地征收成片开发方案</w:t>
      </w:r>
      <w:r w:rsidRPr="00632C95">
        <w:rPr>
          <w:rFonts w:ascii="宋体" w:eastAsia="宋体" w:hAnsi="宋体" w:hint="eastAsia"/>
          <w:sz w:val="28"/>
          <w:szCs w:val="28"/>
        </w:rPr>
        <w:t>》符合自然资源部土地征收成片开发的标准。</w:t>
      </w:r>
    </w:p>
    <w:p w:rsidR="004B171B" w:rsidRPr="00632C95" w:rsidRDefault="00156ABB">
      <w:r w:rsidRPr="00632C95">
        <w:rPr>
          <w:rFonts w:ascii="宋体" w:eastAsia="宋体" w:hAnsi="宋体" w:hint="eastAsia"/>
          <w:sz w:val="28"/>
          <w:szCs w:val="28"/>
        </w:rPr>
        <w:br w:type="page"/>
      </w:r>
    </w:p>
    <w:p w:rsidR="004B171B" w:rsidRPr="00632C95" w:rsidRDefault="004B171B">
      <w:pPr>
        <w:rPr>
          <w:b/>
          <w:bCs/>
          <w:sz w:val="36"/>
          <w:szCs w:val="44"/>
        </w:rPr>
        <w:sectPr w:rsidR="004B171B" w:rsidRPr="00632C95">
          <w:pgSz w:w="11906" w:h="16838"/>
          <w:pgMar w:top="1440" w:right="1800" w:bottom="1440" w:left="1800" w:header="851" w:footer="992" w:gutter="0"/>
          <w:cols w:space="425"/>
          <w:docGrid w:type="lines" w:linePitch="312"/>
        </w:sectPr>
      </w:pPr>
    </w:p>
    <w:p w:rsidR="004B171B" w:rsidRPr="00632C95" w:rsidRDefault="00156ABB">
      <w:pPr>
        <w:rPr>
          <w:b/>
          <w:bCs/>
          <w:sz w:val="36"/>
          <w:szCs w:val="44"/>
        </w:rPr>
      </w:pPr>
      <w:r w:rsidRPr="00632C95">
        <w:rPr>
          <w:rFonts w:hint="eastAsia"/>
          <w:b/>
          <w:bCs/>
          <w:noProof/>
          <w:sz w:val="28"/>
          <w:szCs w:val="36"/>
        </w:rPr>
        <w:lastRenderedPageBreak/>
        <w:drawing>
          <wp:anchor distT="0" distB="0" distL="114300" distR="114300" simplePos="0" relativeHeight="251659264" behindDoc="0" locked="0" layoutInCell="1" allowOverlap="1">
            <wp:simplePos x="0" y="0"/>
            <wp:positionH relativeFrom="column">
              <wp:posOffset>197180</wp:posOffset>
            </wp:positionH>
            <wp:positionV relativeFrom="paragraph">
              <wp:posOffset>-299852</wp:posOffset>
            </wp:positionV>
            <wp:extent cx="8459313" cy="5981064"/>
            <wp:effectExtent l="19050" t="0" r="0" b="0"/>
            <wp:wrapNone/>
            <wp:docPr id="5" name="图片 5" descr="K:\成片开发\仙游县基础数据\仙游郊尾\0824\pic\成片开发范围a.jpg成片开发范围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成片开发\仙游县基础数据\仙游郊尾\0824\pic\成片开发范围a.jpg成片开发范围a"/>
                    <pic:cNvPicPr>
                      <a:picLocks noChangeAspect="1"/>
                    </pic:cNvPicPr>
                  </pic:nvPicPr>
                  <pic:blipFill>
                    <a:blip r:embed="rId8" cstate="print"/>
                    <a:stretch>
                      <a:fillRect/>
                    </a:stretch>
                  </pic:blipFill>
                  <pic:spPr>
                    <a:xfrm>
                      <a:off x="0" y="0"/>
                      <a:ext cx="8459313" cy="5981064"/>
                    </a:xfrm>
                    <a:prstGeom prst="rect">
                      <a:avLst/>
                    </a:prstGeom>
                  </pic:spPr>
                </pic:pic>
              </a:graphicData>
            </a:graphic>
          </wp:anchor>
        </w:drawing>
      </w:r>
    </w:p>
    <w:p w:rsidR="004B171B" w:rsidRPr="00632C95" w:rsidRDefault="004B171B" w:rsidP="0066795F">
      <w:pPr>
        <w:pStyle w:val="2"/>
        <w:ind w:firstLine="420"/>
      </w:pPr>
    </w:p>
    <w:p w:rsidR="004B171B" w:rsidRPr="00632C95" w:rsidRDefault="004B171B">
      <w:pPr>
        <w:rPr>
          <w:b/>
          <w:bCs/>
          <w:sz w:val="28"/>
          <w:szCs w:val="36"/>
        </w:rPr>
      </w:pPr>
    </w:p>
    <w:p w:rsidR="004B171B" w:rsidRPr="00632C95" w:rsidRDefault="004B171B"/>
    <w:sectPr w:rsidR="004B171B" w:rsidRPr="00632C95" w:rsidSect="004B171B">
      <w:pgSz w:w="16838" w:h="11906" w:orient="landscape"/>
      <w:pgMar w:top="1800" w:right="1440" w:bottom="1800"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0F3" w:rsidRDefault="001C50F3" w:rsidP="0066795F">
      <w:r>
        <w:separator/>
      </w:r>
    </w:p>
  </w:endnote>
  <w:endnote w:type="continuationSeparator" w:id="1">
    <w:p w:rsidR="001C50F3" w:rsidRDefault="001C50F3" w:rsidP="00667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0F3" w:rsidRDefault="001C50F3" w:rsidP="0066795F">
      <w:r>
        <w:separator/>
      </w:r>
    </w:p>
  </w:footnote>
  <w:footnote w:type="continuationSeparator" w:id="1">
    <w:p w:rsidR="001C50F3" w:rsidRDefault="001C50F3" w:rsidP="006679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6421F"/>
    <w:multiLevelType w:val="multilevel"/>
    <w:tmpl w:val="4996421F"/>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FFF79975"/>
    <w:rsid w:val="F6B1E4F1"/>
    <w:rsid w:val="FFF79975"/>
    <w:rsid w:val="0001161F"/>
    <w:rsid w:val="0004323E"/>
    <w:rsid w:val="00096E47"/>
    <w:rsid w:val="000D3B8C"/>
    <w:rsid w:val="00122AA9"/>
    <w:rsid w:val="00156ABB"/>
    <w:rsid w:val="00163C2C"/>
    <w:rsid w:val="001A6F65"/>
    <w:rsid w:val="001B43BC"/>
    <w:rsid w:val="001C50F3"/>
    <w:rsid w:val="001C7B58"/>
    <w:rsid w:val="001E59CC"/>
    <w:rsid w:val="001F15B3"/>
    <w:rsid w:val="001F5839"/>
    <w:rsid w:val="002A0B85"/>
    <w:rsid w:val="002E2B06"/>
    <w:rsid w:val="00305EE2"/>
    <w:rsid w:val="00306367"/>
    <w:rsid w:val="0034167A"/>
    <w:rsid w:val="00351E97"/>
    <w:rsid w:val="003F16F6"/>
    <w:rsid w:val="003F59F8"/>
    <w:rsid w:val="004119A8"/>
    <w:rsid w:val="0048106E"/>
    <w:rsid w:val="004917CC"/>
    <w:rsid w:val="004B171B"/>
    <w:rsid w:val="0052468D"/>
    <w:rsid w:val="005356EE"/>
    <w:rsid w:val="0057556D"/>
    <w:rsid w:val="005A4D38"/>
    <w:rsid w:val="00632C95"/>
    <w:rsid w:val="00640E89"/>
    <w:rsid w:val="0066795F"/>
    <w:rsid w:val="00692E6F"/>
    <w:rsid w:val="006B5CE2"/>
    <w:rsid w:val="006E2598"/>
    <w:rsid w:val="007A542D"/>
    <w:rsid w:val="007D6259"/>
    <w:rsid w:val="00837A4F"/>
    <w:rsid w:val="0084723E"/>
    <w:rsid w:val="00876D8F"/>
    <w:rsid w:val="008C0311"/>
    <w:rsid w:val="008C0357"/>
    <w:rsid w:val="00A111DB"/>
    <w:rsid w:val="00AB42D3"/>
    <w:rsid w:val="00AF0A8B"/>
    <w:rsid w:val="00B7482D"/>
    <w:rsid w:val="00B87788"/>
    <w:rsid w:val="00BB6A48"/>
    <w:rsid w:val="00C57752"/>
    <w:rsid w:val="00DB11EB"/>
    <w:rsid w:val="00EF405E"/>
    <w:rsid w:val="00EF436E"/>
    <w:rsid w:val="00F01705"/>
    <w:rsid w:val="00F431BE"/>
    <w:rsid w:val="00F64181"/>
    <w:rsid w:val="00F93C42"/>
    <w:rsid w:val="01003416"/>
    <w:rsid w:val="0799098D"/>
    <w:rsid w:val="0B776C07"/>
    <w:rsid w:val="18196216"/>
    <w:rsid w:val="183A27BF"/>
    <w:rsid w:val="18A60033"/>
    <w:rsid w:val="1AA71F02"/>
    <w:rsid w:val="1B1FD141"/>
    <w:rsid w:val="27AB6B40"/>
    <w:rsid w:val="2BEC521A"/>
    <w:rsid w:val="318E3A80"/>
    <w:rsid w:val="36F928BD"/>
    <w:rsid w:val="3C5D0EE1"/>
    <w:rsid w:val="3CEF3A90"/>
    <w:rsid w:val="3DAA6DB5"/>
    <w:rsid w:val="3DB07049"/>
    <w:rsid w:val="3FE658AF"/>
    <w:rsid w:val="4016478C"/>
    <w:rsid w:val="41140DB3"/>
    <w:rsid w:val="41EE78E0"/>
    <w:rsid w:val="42456003"/>
    <w:rsid w:val="49727865"/>
    <w:rsid w:val="4B3B4E4E"/>
    <w:rsid w:val="4B85431C"/>
    <w:rsid w:val="4C0D7FB6"/>
    <w:rsid w:val="4E4F4FE6"/>
    <w:rsid w:val="525C7843"/>
    <w:rsid w:val="57953B57"/>
    <w:rsid w:val="5C9A43FE"/>
    <w:rsid w:val="737A5923"/>
    <w:rsid w:val="759D0D24"/>
    <w:rsid w:val="762050E3"/>
    <w:rsid w:val="77FF0221"/>
    <w:rsid w:val="7D1A5678"/>
    <w:rsid w:val="7F7FE473"/>
    <w:rsid w:val="7FEC2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B171B"/>
    <w:pPr>
      <w:widowControl w:val="0"/>
      <w:jc w:val="both"/>
    </w:pPr>
    <w:rPr>
      <w:kern w:val="2"/>
      <w:sz w:val="21"/>
      <w:szCs w:val="22"/>
    </w:rPr>
  </w:style>
  <w:style w:type="paragraph" w:styleId="20">
    <w:name w:val="heading 2"/>
    <w:basedOn w:val="a"/>
    <w:next w:val="a"/>
    <w:semiHidden/>
    <w:unhideWhenUsed/>
    <w:qFormat/>
    <w:rsid w:val="004B171B"/>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4B171B"/>
    <w:pPr>
      <w:ind w:firstLineChars="200" w:firstLine="1012"/>
    </w:pPr>
  </w:style>
  <w:style w:type="paragraph" w:styleId="a3">
    <w:name w:val="Body Text Indent"/>
    <w:basedOn w:val="a"/>
    <w:qFormat/>
    <w:rsid w:val="004B171B"/>
    <w:pPr>
      <w:ind w:leftChars="200" w:left="420"/>
    </w:pPr>
  </w:style>
  <w:style w:type="paragraph" w:styleId="a4">
    <w:name w:val="Body Text"/>
    <w:basedOn w:val="a"/>
    <w:uiPriority w:val="1"/>
    <w:qFormat/>
    <w:rsid w:val="004B171B"/>
    <w:pPr>
      <w:ind w:left="1120"/>
    </w:pPr>
    <w:rPr>
      <w:rFonts w:ascii="宋体" w:eastAsia="宋体" w:hAnsi="宋体" w:cs="宋体"/>
      <w:sz w:val="32"/>
      <w:szCs w:val="32"/>
      <w:lang w:val="zh-CN" w:bidi="zh-CN"/>
    </w:rPr>
  </w:style>
  <w:style w:type="paragraph" w:customStyle="1" w:styleId="1">
    <w:name w:val="列出段落1"/>
    <w:basedOn w:val="a"/>
    <w:uiPriority w:val="34"/>
    <w:qFormat/>
    <w:rsid w:val="004B171B"/>
    <w:pPr>
      <w:ind w:firstLineChars="200" w:firstLine="420"/>
    </w:pPr>
  </w:style>
  <w:style w:type="paragraph" w:customStyle="1" w:styleId="10">
    <w:name w:val="列出段落1"/>
    <w:basedOn w:val="a"/>
    <w:uiPriority w:val="34"/>
    <w:qFormat/>
    <w:rsid w:val="004B171B"/>
    <w:pPr>
      <w:ind w:firstLineChars="200" w:firstLine="420"/>
    </w:pPr>
  </w:style>
  <w:style w:type="paragraph" w:styleId="a5">
    <w:name w:val="header"/>
    <w:basedOn w:val="a"/>
    <w:link w:val="Char"/>
    <w:rsid w:val="00667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6795F"/>
    <w:rPr>
      <w:kern w:val="2"/>
      <w:sz w:val="18"/>
      <w:szCs w:val="18"/>
    </w:rPr>
  </w:style>
  <w:style w:type="paragraph" w:styleId="a6">
    <w:name w:val="footer"/>
    <w:basedOn w:val="a"/>
    <w:link w:val="Char0"/>
    <w:rsid w:val="0066795F"/>
    <w:pPr>
      <w:tabs>
        <w:tab w:val="center" w:pos="4153"/>
        <w:tab w:val="right" w:pos="8306"/>
      </w:tabs>
      <w:snapToGrid w:val="0"/>
      <w:jc w:val="left"/>
    </w:pPr>
    <w:rPr>
      <w:sz w:val="18"/>
      <w:szCs w:val="18"/>
    </w:rPr>
  </w:style>
  <w:style w:type="character" w:customStyle="1" w:styleId="Char0">
    <w:name w:val="页脚 Char"/>
    <w:basedOn w:val="a0"/>
    <w:link w:val="a6"/>
    <w:rsid w:val="0066795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sdream</dc:creator>
  <cp:lastModifiedBy>Windows 用户</cp:lastModifiedBy>
  <cp:revision>49</cp:revision>
  <cp:lastPrinted>2021-12-25T07:22:00Z</cp:lastPrinted>
  <dcterms:created xsi:type="dcterms:W3CDTF">2021-02-27T04:38:00Z</dcterms:created>
  <dcterms:modified xsi:type="dcterms:W3CDTF">2021-12-27T02:13:00Z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1536056D965B424DA58B93BEF70E0E1E</vt:lpwstr>
  </property>
</Properties>
</file>