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hint="eastAsia"/>
          <w:b/>
          <w:bCs/>
          <w:sz w:val="36"/>
          <w:szCs w:val="36"/>
          <w:lang w:eastAsia="zh-CN"/>
        </w:rPr>
      </w:pPr>
      <w:r>
        <w:rPr>
          <w:rFonts w:hint="eastAsia"/>
          <w:b/>
          <w:bCs/>
          <w:sz w:val="36"/>
          <w:szCs w:val="36"/>
          <w:lang w:eastAsia="zh-CN"/>
        </w:rPr>
        <w:t>仙游县郊尾普通住宅一号片区土地征收</w:t>
      </w:r>
    </w:p>
    <w:p>
      <w:pPr>
        <w:widowControl/>
        <w:jc w:val="center"/>
        <w:rPr>
          <w:rFonts w:hint="eastAsia"/>
          <w:b/>
          <w:bCs/>
          <w:sz w:val="36"/>
          <w:szCs w:val="36"/>
          <w:lang w:val="en-US" w:eastAsia="zh-Hans"/>
        </w:rPr>
      </w:pPr>
      <w:r>
        <w:rPr>
          <w:rFonts w:hint="eastAsia"/>
          <w:b/>
          <w:bCs/>
          <w:sz w:val="36"/>
          <w:szCs w:val="36"/>
          <w:lang w:eastAsia="zh-CN"/>
        </w:rPr>
        <w:t>成片开发方案</w:t>
      </w:r>
    </w:p>
    <w:p>
      <w:pPr>
        <w:pStyle w:val="2"/>
      </w:pPr>
      <w:bookmarkStart w:id="0" w:name="_GoBack"/>
      <w:bookmarkEnd w:id="0"/>
    </w:p>
    <w:p>
      <w:pPr>
        <w:pStyle w:val="9"/>
        <w:numPr>
          <w:ilvl w:val="0"/>
          <w:numId w:val="1"/>
        </w:numPr>
        <w:ind w:firstLineChars="0"/>
        <w:rPr>
          <w:rFonts w:ascii="宋体" w:hAnsi="宋体" w:eastAsia="宋体"/>
          <w:b/>
          <w:bCs/>
          <w:sz w:val="28"/>
          <w:szCs w:val="28"/>
        </w:rPr>
      </w:pPr>
      <w:r>
        <w:rPr>
          <w:rFonts w:hint="eastAsia" w:ascii="宋体" w:hAnsi="宋体" w:eastAsia="宋体"/>
          <w:b/>
          <w:bCs/>
          <w:sz w:val="28"/>
          <w:szCs w:val="28"/>
        </w:rPr>
        <w:t>编制依据</w:t>
      </w:r>
    </w:p>
    <w:p>
      <w:pPr>
        <w:pStyle w:val="9"/>
        <w:ind w:firstLine="560"/>
        <w:rPr>
          <w:rFonts w:ascii="宋体" w:hAnsi="宋体" w:eastAsia="宋体"/>
          <w:sz w:val="28"/>
          <w:szCs w:val="28"/>
        </w:rPr>
      </w:pPr>
      <w:r>
        <w:rPr>
          <w:rFonts w:hint="eastAsia" w:ascii="宋体" w:hAnsi="宋体" w:eastAsia="宋体"/>
          <w:sz w:val="28"/>
          <w:szCs w:val="28"/>
        </w:rPr>
        <w:t>根据《中华人民共和国土地管理法》（2019年修正法）</w:t>
      </w:r>
      <w:r>
        <w:rPr>
          <w:rFonts w:ascii="宋体" w:hAnsi="宋体" w:eastAsia="宋体"/>
          <w:sz w:val="28"/>
          <w:szCs w:val="28"/>
        </w:rPr>
        <w:t>、</w:t>
      </w:r>
      <w:r>
        <w:rPr>
          <w:rFonts w:hint="eastAsia" w:ascii="宋体" w:hAnsi="宋体" w:eastAsia="宋体"/>
          <w:sz w:val="28"/>
          <w:szCs w:val="28"/>
        </w:rPr>
        <w:t>《国土资源部关于进一步做好新型城镇化建设土地服务保障工作的通知》（国土资规〔2016〕4号）</w:t>
      </w:r>
      <w:r>
        <w:rPr>
          <w:rFonts w:ascii="宋体" w:hAnsi="宋体" w:eastAsia="宋体"/>
          <w:sz w:val="28"/>
          <w:szCs w:val="28"/>
        </w:rPr>
        <w:t>、</w:t>
      </w:r>
      <w:r>
        <w:rPr>
          <w:rFonts w:hint="eastAsia" w:ascii="宋体" w:hAnsi="宋体" w:eastAsia="宋体"/>
          <w:sz w:val="28"/>
          <w:szCs w:val="28"/>
        </w:rPr>
        <w:t>《自然资源部关于印发〈土地征收成片开发标准（试行）〉的通知》（自然资规〔2020〕5号）</w:t>
      </w:r>
      <w:r>
        <w:rPr>
          <w:rFonts w:ascii="宋体" w:hAnsi="宋体" w:eastAsia="宋体"/>
          <w:sz w:val="28"/>
          <w:szCs w:val="28"/>
        </w:rPr>
        <w:t>、</w:t>
      </w:r>
      <w:r>
        <w:rPr>
          <w:rFonts w:hint="eastAsia" w:ascii="宋体" w:hAnsi="宋体" w:eastAsia="宋体"/>
          <w:sz w:val="28"/>
          <w:szCs w:val="28"/>
        </w:rPr>
        <w:t>《资源环境承载能力和国土空间开发适宜性评价指南（试行）》（自然资办函〔2020〕127号）</w:t>
      </w:r>
      <w:r>
        <w:rPr>
          <w:rFonts w:ascii="宋体" w:hAnsi="宋体" w:eastAsia="宋体"/>
          <w:sz w:val="28"/>
          <w:szCs w:val="28"/>
        </w:rPr>
        <w:t>、</w:t>
      </w:r>
      <w:r>
        <w:rPr>
          <w:rFonts w:hint="eastAsia" w:ascii="宋体" w:hAnsi="宋体" w:eastAsia="宋体"/>
          <w:sz w:val="28"/>
          <w:szCs w:val="28"/>
        </w:rPr>
        <w:t>《自然资源部办公厅关于规范开展建设项目节地评价工作的通知》（自然资办发〔2021〕14号）</w:t>
      </w:r>
      <w:r>
        <w:rPr>
          <w:rFonts w:ascii="宋体" w:hAnsi="宋体" w:eastAsia="宋体"/>
          <w:sz w:val="28"/>
          <w:szCs w:val="28"/>
        </w:rPr>
        <w:t>、</w:t>
      </w:r>
      <w:r>
        <w:rPr>
          <w:rFonts w:hint="eastAsia" w:ascii="宋体" w:hAnsi="宋体" w:eastAsia="宋体"/>
          <w:sz w:val="28"/>
          <w:szCs w:val="28"/>
        </w:rPr>
        <w:t>《福建省自然资源厅关于印发&lt;福建省土地征收成片开发方案报批实施细则（试行）&gt;的通知》（闽自然资发〔2021〕3号）</w:t>
      </w:r>
      <w:r>
        <w:rPr>
          <w:rFonts w:ascii="宋体" w:hAnsi="宋体" w:eastAsia="宋体"/>
          <w:sz w:val="28"/>
          <w:szCs w:val="28"/>
        </w:rPr>
        <w:t>、</w:t>
      </w:r>
      <w:r>
        <w:rPr>
          <w:rFonts w:hint="eastAsia" w:ascii="宋体" w:hAnsi="宋体" w:eastAsia="宋体"/>
          <w:sz w:val="28"/>
          <w:szCs w:val="28"/>
        </w:rPr>
        <w:t>《福建省土地征收成片开发方案编制参考指南（试行）》</w:t>
      </w:r>
      <w:r>
        <w:rPr>
          <w:rFonts w:ascii="宋体" w:hAnsi="宋体" w:eastAsia="宋体"/>
          <w:sz w:val="28"/>
          <w:szCs w:val="28"/>
        </w:rPr>
        <w:t>、</w:t>
      </w:r>
      <w:r>
        <w:rPr>
          <w:rFonts w:hint="eastAsia" w:ascii="宋体" w:hAnsi="宋体" w:eastAsia="宋体"/>
          <w:sz w:val="28"/>
          <w:szCs w:val="28"/>
        </w:rPr>
        <w:t>《国土空间调查、规划、用途管制用地用海分类指南（试行）》</w:t>
      </w:r>
      <w:r>
        <w:rPr>
          <w:rFonts w:ascii="宋体" w:hAnsi="宋体" w:eastAsia="宋体"/>
          <w:sz w:val="28"/>
          <w:szCs w:val="28"/>
        </w:rPr>
        <w:t>、</w:t>
      </w:r>
      <w:r>
        <w:rPr>
          <w:rFonts w:hint="eastAsia" w:ascii="宋体" w:hAnsi="宋体" w:eastAsia="宋体"/>
          <w:sz w:val="28"/>
          <w:szCs w:val="28"/>
        </w:rPr>
        <w:t>《仙游县国民经济和社会发展第十四个五年规划和二〇三五年远景目标纲要》</w:t>
      </w:r>
      <w:r>
        <w:rPr>
          <w:rFonts w:ascii="宋体" w:hAnsi="宋体" w:eastAsia="宋体"/>
          <w:sz w:val="28"/>
          <w:szCs w:val="28"/>
        </w:rPr>
        <w:t>、</w:t>
      </w:r>
      <w:r>
        <w:rPr>
          <w:rFonts w:hint="eastAsia" w:ascii="宋体" w:hAnsi="宋体" w:eastAsia="宋体"/>
          <w:sz w:val="28"/>
          <w:szCs w:val="28"/>
        </w:rPr>
        <w:t>《仙游县土地利用总体规划（2017-2030）》</w:t>
      </w:r>
      <w:r>
        <w:rPr>
          <w:rFonts w:ascii="宋体" w:hAnsi="宋体" w:eastAsia="宋体"/>
          <w:sz w:val="28"/>
          <w:szCs w:val="28"/>
        </w:rPr>
        <w:t>、</w:t>
      </w:r>
      <w:r>
        <w:rPr>
          <w:rFonts w:hint="eastAsia" w:ascii="宋体" w:hAnsi="宋体" w:eastAsia="宋体"/>
          <w:sz w:val="28"/>
          <w:szCs w:val="28"/>
        </w:rPr>
        <w:t>其他仙游县县域数据及资料</w:t>
      </w:r>
      <w:r>
        <w:rPr>
          <w:rFonts w:ascii="宋体" w:hAnsi="宋体" w:eastAsia="宋体"/>
          <w:sz w:val="28"/>
          <w:szCs w:val="28"/>
        </w:rPr>
        <w:t>等，编制《</w:t>
      </w:r>
      <w:r>
        <w:rPr>
          <w:rFonts w:hint="eastAsia" w:ascii="宋体" w:hAnsi="宋体" w:eastAsia="宋体"/>
          <w:sz w:val="28"/>
          <w:szCs w:val="28"/>
          <w:lang w:eastAsia="zh-CN"/>
        </w:rPr>
        <w:t>仙游县郊尾普通住宅一号</w:t>
      </w:r>
      <w:r>
        <w:rPr>
          <w:rFonts w:hint="eastAsia" w:ascii="宋体" w:hAnsi="宋体" w:eastAsia="宋体"/>
          <w:sz w:val="28"/>
          <w:szCs w:val="28"/>
        </w:rPr>
        <w:t>片区土地征收成片开发方案</w:t>
      </w:r>
      <w:r>
        <w:rPr>
          <w:rFonts w:ascii="宋体" w:hAnsi="宋体" w:eastAsia="宋体"/>
          <w:sz w:val="28"/>
          <w:szCs w:val="28"/>
        </w:rPr>
        <w:t>》。</w:t>
      </w:r>
    </w:p>
    <w:p>
      <w:pPr>
        <w:pStyle w:val="8"/>
        <w:numPr>
          <w:ilvl w:val="0"/>
          <w:numId w:val="1"/>
        </w:numPr>
        <w:ind w:firstLineChars="0"/>
        <w:rPr>
          <w:rFonts w:ascii="宋体" w:hAnsi="宋体" w:eastAsia="宋体"/>
          <w:b/>
          <w:bCs/>
          <w:sz w:val="28"/>
          <w:szCs w:val="28"/>
        </w:rPr>
      </w:pPr>
      <w:r>
        <w:rPr>
          <w:rFonts w:hint="eastAsia" w:ascii="宋体" w:hAnsi="宋体" w:eastAsia="宋体"/>
          <w:b/>
          <w:bCs/>
          <w:sz w:val="28"/>
          <w:szCs w:val="28"/>
        </w:rPr>
        <w:t>基本情况</w:t>
      </w:r>
    </w:p>
    <w:p>
      <w:pPr>
        <w:keepNext w:val="0"/>
        <w:keepLines w:val="0"/>
        <w:widowControl/>
        <w:suppressLineNumbers w:val="0"/>
        <w:ind w:firstLine="560" w:firstLineChars="200"/>
        <w:jc w:val="both"/>
        <w:rPr>
          <w:rFonts w:ascii="宋体" w:hAnsi="宋体" w:eastAsia="宋体"/>
          <w:sz w:val="28"/>
          <w:szCs w:val="28"/>
        </w:rPr>
      </w:pPr>
      <w:r>
        <w:rPr>
          <w:rFonts w:hint="eastAsia" w:ascii="宋体" w:hAnsi="宋体" w:eastAsia="宋体"/>
          <w:sz w:val="28"/>
          <w:szCs w:val="28"/>
          <w:lang w:eastAsia="zh-Hans"/>
        </w:rPr>
        <w:t>成片开发区域位于福建省仙游县</w:t>
      </w:r>
      <w:r>
        <w:rPr>
          <w:rFonts w:hint="eastAsia" w:ascii="宋体" w:hAnsi="宋体" w:eastAsia="宋体"/>
          <w:sz w:val="28"/>
          <w:szCs w:val="28"/>
          <w:lang w:val="en-US" w:eastAsia="zh-CN"/>
        </w:rPr>
        <w:t>郊尾镇</w:t>
      </w:r>
      <w:r>
        <w:rPr>
          <w:rFonts w:hint="eastAsia" w:ascii="宋体" w:hAnsi="宋体" w:eastAsia="宋体"/>
          <w:sz w:val="28"/>
          <w:szCs w:val="28"/>
          <w:lang w:eastAsia="zh-Hans"/>
        </w:rPr>
        <w:t>。涉及涉及仙游县</w:t>
      </w:r>
      <w:r>
        <w:rPr>
          <w:rFonts w:hint="eastAsia" w:ascii="宋体" w:hAnsi="宋体" w:eastAsia="宋体"/>
          <w:sz w:val="28"/>
          <w:szCs w:val="28"/>
          <w:lang w:eastAsia="zh-CN"/>
        </w:rPr>
        <w:t>郊尾镇</w:t>
      </w:r>
      <w:r>
        <w:rPr>
          <w:rFonts w:hint="eastAsia" w:ascii="宋体" w:hAnsi="宋体" w:eastAsia="宋体"/>
          <w:sz w:val="28"/>
          <w:szCs w:val="28"/>
          <w:lang w:eastAsia="zh-Hans"/>
        </w:rPr>
        <w:t>郊尾社区、后溪村、染厝村、塘边村</w:t>
      </w:r>
      <w:r>
        <w:rPr>
          <w:rFonts w:hint="eastAsia" w:ascii="宋体" w:hAnsi="宋体" w:eastAsia="宋体"/>
          <w:sz w:val="28"/>
          <w:szCs w:val="28"/>
          <w:lang w:eastAsia="zh-CN"/>
        </w:rPr>
        <w:t>，</w:t>
      </w:r>
      <w:r>
        <w:rPr>
          <w:rFonts w:hint="eastAsia" w:ascii="宋体" w:hAnsi="宋体" w:eastAsia="宋体"/>
          <w:sz w:val="28"/>
          <w:szCs w:val="28"/>
          <w:lang w:val="en-US" w:eastAsia="zh-CN"/>
        </w:rPr>
        <w:t>共1个镇1个社区3个村</w:t>
      </w:r>
      <w:r>
        <w:rPr>
          <w:rFonts w:hint="eastAsia" w:ascii="宋体" w:hAnsi="宋体" w:eastAsia="宋体"/>
          <w:sz w:val="28"/>
          <w:szCs w:val="28"/>
          <w:lang w:eastAsia="zh-Hans"/>
        </w:rPr>
        <w:t>。成片开发面积</w:t>
      </w:r>
      <w:r>
        <w:rPr>
          <w:rFonts w:hint="eastAsia" w:ascii="宋体" w:hAnsi="宋体" w:eastAsia="宋体"/>
          <w:sz w:val="28"/>
          <w:szCs w:val="28"/>
          <w:lang w:val="en-US" w:eastAsia="zh-CN"/>
        </w:rPr>
        <w:t>11.4910</w:t>
      </w:r>
      <w:r>
        <w:rPr>
          <w:rFonts w:hint="eastAsia" w:ascii="宋体" w:hAnsi="宋体" w:eastAsia="宋体"/>
          <w:sz w:val="28"/>
          <w:szCs w:val="28"/>
          <w:lang w:eastAsia="zh-Hans"/>
        </w:rPr>
        <w:t>公顷。涉及国有土地</w:t>
      </w:r>
      <w:r>
        <w:rPr>
          <w:rFonts w:hint="eastAsia" w:ascii="宋体" w:hAnsi="宋体" w:eastAsia="宋体"/>
          <w:sz w:val="28"/>
          <w:szCs w:val="28"/>
          <w:lang w:val="en-US" w:eastAsia="zh-CN"/>
        </w:rPr>
        <w:t>0.4970</w:t>
      </w:r>
      <w:r>
        <w:rPr>
          <w:rFonts w:hint="eastAsia" w:ascii="宋体" w:hAnsi="宋体" w:eastAsia="宋体"/>
          <w:sz w:val="28"/>
          <w:szCs w:val="28"/>
          <w:lang w:eastAsia="zh-Hans"/>
        </w:rPr>
        <w:t>公顷，集体土地</w:t>
      </w:r>
      <w:r>
        <w:rPr>
          <w:rFonts w:hint="eastAsia" w:ascii="宋体" w:hAnsi="宋体" w:eastAsia="宋体"/>
          <w:sz w:val="28"/>
          <w:szCs w:val="28"/>
          <w:lang w:val="en-US" w:eastAsia="zh-CN"/>
        </w:rPr>
        <w:t>10.9940</w:t>
      </w:r>
      <w:r>
        <w:rPr>
          <w:rFonts w:hint="eastAsia" w:ascii="宋体" w:hAnsi="宋体" w:eastAsia="宋体"/>
          <w:sz w:val="28"/>
          <w:szCs w:val="28"/>
          <w:lang w:eastAsia="zh-Hans"/>
        </w:rPr>
        <w:t>公顷。根据实地勘测调查，本方案成片开发范围总面积</w:t>
      </w:r>
      <w:r>
        <w:rPr>
          <w:rFonts w:hint="eastAsia" w:ascii="宋体" w:hAnsi="宋体" w:eastAsia="宋体"/>
          <w:sz w:val="28"/>
          <w:szCs w:val="28"/>
          <w:lang w:eastAsia="zh-CN"/>
        </w:rPr>
        <w:t>11.4910</w:t>
      </w:r>
      <w:r>
        <w:rPr>
          <w:rFonts w:hint="eastAsia" w:ascii="宋体" w:hAnsi="宋体" w:eastAsia="宋体"/>
          <w:sz w:val="28"/>
          <w:szCs w:val="28"/>
          <w:lang w:eastAsia="zh-Hans"/>
        </w:rPr>
        <w:t>公顷，其中：农用地</w:t>
      </w:r>
      <w:r>
        <w:rPr>
          <w:rFonts w:hint="eastAsia" w:ascii="宋体" w:hAnsi="宋体" w:eastAsia="宋体"/>
          <w:sz w:val="28"/>
          <w:szCs w:val="28"/>
          <w:lang w:val="en-US" w:eastAsia="zh-CN"/>
        </w:rPr>
        <w:t>10.9029</w:t>
      </w:r>
      <w:r>
        <w:rPr>
          <w:rFonts w:hint="eastAsia" w:ascii="宋体" w:hAnsi="宋体" w:eastAsia="宋体"/>
          <w:sz w:val="28"/>
          <w:szCs w:val="28"/>
          <w:lang w:eastAsia="zh-Hans"/>
        </w:rPr>
        <w:t>公顷（耕地</w:t>
      </w:r>
      <w:r>
        <w:rPr>
          <w:rFonts w:hint="eastAsia" w:ascii="宋体" w:hAnsi="宋体" w:eastAsia="宋体"/>
          <w:sz w:val="28"/>
          <w:szCs w:val="28"/>
          <w:lang w:val="en-US" w:eastAsia="zh-CN"/>
        </w:rPr>
        <w:t>10.6260</w:t>
      </w:r>
      <w:r>
        <w:rPr>
          <w:rFonts w:hint="eastAsia" w:ascii="宋体" w:hAnsi="宋体" w:eastAsia="宋体"/>
          <w:sz w:val="28"/>
          <w:szCs w:val="28"/>
          <w:lang w:eastAsia="zh-Hans"/>
        </w:rPr>
        <w:t>公顷），建设用地</w:t>
      </w:r>
      <w:r>
        <w:rPr>
          <w:rFonts w:hint="eastAsia" w:ascii="宋体" w:hAnsi="宋体" w:eastAsia="宋体"/>
          <w:sz w:val="28"/>
          <w:szCs w:val="28"/>
          <w:lang w:val="en-US" w:eastAsia="zh-CN"/>
        </w:rPr>
        <w:t>0.3006</w:t>
      </w:r>
      <w:r>
        <w:rPr>
          <w:rFonts w:hint="eastAsia" w:ascii="宋体" w:hAnsi="宋体" w:eastAsia="宋体"/>
          <w:sz w:val="28"/>
          <w:szCs w:val="28"/>
          <w:lang w:eastAsia="zh-Hans"/>
        </w:rPr>
        <w:t>公顷，未利用地</w:t>
      </w:r>
      <w:r>
        <w:rPr>
          <w:rFonts w:hint="eastAsia" w:ascii="宋体" w:hAnsi="宋体" w:eastAsia="宋体"/>
          <w:sz w:val="28"/>
          <w:szCs w:val="28"/>
          <w:lang w:eastAsia="zh-CN"/>
        </w:rPr>
        <w:t>0.28</w:t>
      </w:r>
      <w:r>
        <w:rPr>
          <w:rFonts w:hint="eastAsia" w:ascii="宋体" w:hAnsi="宋体" w:eastAsia="宋体"/>
          <w:sz w:val="28"/>
          <w:szCs w:val="28"/>
          <w:lang w:val="en-US" w:eastAsia="zh-CN"/>
        </w:rPr>
        <w:t>75</w:t>
      </w:r>
      <w:r>
        <w:rPr>
          <w:rFonts w:hint="eastAsia" w:ascii="宋体" w:hAnsi="宋体" w:eastAsia="宋体"/>
          <w:sz w:val="28"/>
          <w:szCs w:val="28"/>
          <w:lang w:eastAsia="zh-Hans"/>
        </w:rPr>
        <w:t>公顷。</w:t>
      </w:r>
    </w:p>
    <w:p>
      <w:pPr>
        <w:pStyle w:val="8"/>
        <w:numPr>
          <w:ilvl w:val="0"/>
          <w:numId w:val="1"/>
        </w:numPr>
        <w:ind w:firstLineChars="0"/>
        <w:rPr>
          <w:rFonts w:ascii="宋体" w:hAnsi="宋体" w:eastAsia="宋体"/>
          <w:b/>
          <w:bCs/>
          <w:sz w:val="28"/>
          <w:szCs w:val="28"/>
        </w:rPr>
      </w:pPr>
      <w:r>
        <w:rPr>
          <w:rFonts w:hint="eastAsia" w:ascii="宋体" w:hAnsi="宋体" w:eastAsia="宋体"/>
          <w:b/>
          <w:bCs/>
          <w:sz w:val="28"/>
          <w:szCs w:val="28"/>
        </w:rPr>
        <w:t>必要性</w:t>
      </w:r>
    </w:p>
    <w:p>
      <w:pPr>
        <w:ind w:firstLine="560" w:firstLineChars="200"/>
        <w:rPr>
          <w:rFonts w:hint="eastAsia"/>
          <w:b w:val="0"/>
          <w:bCs w:val="0"/>
          <w:sz w:val="28"/>
          <w:szCs w:val="36"/>
          <w:highlight w:val="none"/>
          <w:lang w:val="en-US" w:eastAsia="zh-Hans"/>
        </w:rPr>
      </w:pPr>
      <w:r>
        <w:rPr>
          <w:rFonts w:hint="eastAsia"/>
          <w:b w:val="0"/>
          <w:bCs w:val="0"/>
          <w:sz w:val="28"/>
          <w:szCs w:val="36"/>
          <w:highlight w:val="none"/>
          <w:lang w:val="en-US" w:eastAsia="zh-Hans"/>
        </w:rPr>
        <w:t>仙游县城市空间发展不平衡，总体呈现为“北重南轻、东强西弱”，土地价值差异化较大。成片开发利于资源配置进行合理的规划和布局，便于开展大规模土地基础设施建设，形成功能齐全的土地区块，可以提高效率，利于管理，能够完善城市功能布局。</w:t>
      </w:r>
    </w:p>
    <w:p>
      <w:pPr>
        <w:ind w:firstLine="560" w:firstLineChars="200"/>
        <w:rPr>
          <w:rFonts w:hint="eastAsia"/>
          <w:b w:val="0"/>
          <w:bCs w:val="0"/>
          <w:sz w:val="28"/>
          <w:szCs w:val="36"/>
          <w:highlight w:val="none"/>
          <w:lang w:val="en-US" w:eastAsia="zh-Hans"/>
        </w:rPr>
      </w:pPr>
      <w:r>
        <w:rPr>
          <w:rFonts w:hint="eastAsia"/>
          <w:b w:val="0"/>
          <w:bCs w:val="0"/>
          <w:sz w:val="28"/>
          <w:szCs w:val="36"/>
          <w:highlight w:val="none"/>
          <w:lang w:val="en-US" w:eastAsia="zh-Hans"/>
        </w:rPr>
        <w:t>本方案位于郊尾镇规划区内，属于仙游城市发展主脊梁的重要组成部分，是“十四五”规划重点开发的区域。本次成片开发预计统筹推进一批新城建设项目，对于全面开展“四大片区”开发工作，完善城市功能，提升新城建设水平，推进城镇化进程，带动经济发展，起到至关重要的作用。</w:t>
      </w:r>
    </w:p>
    <w:p>
      <w:pPr>
        <w:ind w:firstLine="560" w:firstLineChars="200"/>
        <w:rPr>
          <w:rFonts w:hint="eastAsia"/>
          <w:b w:val="0"/>
          <w:bCs w:val="0"/>
          <w:sz w:val="28"/>
          <w:szCs w:val="36"/>
          <w:highlight w:val="none"/>
          <w:lang w:val="en-US" w:eastAsia="zh-Hans"/>
        </w:rPr>
      </w:pPr>
      <w:r>
        <w:rPr>
          <w:rFonts w:hint="eastAsia"/>
          <w:b w:val="0"/>
          <w:bCs w:val="0"/>
          <w:sz w:val="28"/>
          <w:szCs w:val="36"/>
          <w:highlight w:val="none"/>
          <w:lang w:val="en-US" w:eastAsia="zh-CN"/>
        </w:rPr>
        <w:t>本方案</w:t>
      </w:r>
      <w:r>
        <w:rPr>
          <w:rFonts w:hint="eastAsia"/>
          <w:b w:val="0"/>
          <w:bCs w:val="0"/>
          <w:sz w:val="28"/>
          <w:szCs w:val="36"/>
          <w:highlight w:val="none"/>
          <w:lang w:val="en-US" w:eastAsia="zh-Hans"/>
        </w:rPr>
        <w:t>对接上位规划基础，结合郊尾镇发展特点和发展方向，在“保格局、展新颜、强措施、重落实”的发展策略指导下，郊尾镇规划制定了“一心，一带，两轴，两组团”的空间布局结构。本方案依托“两轴”中的东西城镇综合发展轴，联动西部村落与镇区公共服务中心，以现代宜居为主体功能，积极配置城市公共服务设施，打造综合公园绿化景观带，打造理想的邻里社区，提升未来郊尾镇的城市形象，从而增加吸引力，带动城镇协调发展。</w:t>
      </w:r>
    </w:p>
    <w:p>
      <w:pPr>
        <w:ind w:firstLine="560" w:firstLineChars="200"/>
        <w:rPr>
          <w:rFonts w:hint="eastAsia"/>
          <w:b w:val="0"/>
          <w:bCs w:val="0"/>
          <w:sz w:val="28"/>
          <w:szCs w:val="36"/>
          <w:highlight w:val="none"/>
          <w:lang w:val="en-US" w:eastAsia="zh-Hans"/>
        </w:rPr>
      </w:pPr>
      <w:r>
        <w:rPr>
          <w:rFonts w:hint="eastAsia"/>
          <w:b w:val="0"/>
          <w:bCs w:val="0"/>
          <w:sz w:val="28"/>
          <w:szCs w:val="36"/>
          <w:highlight w:val="none"/>
          <w:lang w:val="en-US" w:eastAsia="zh-Hans"/>
        </w:rPr>
        <w:t>本方案周边的村庄人口密集，社区居住环境较差，公共配套不完善。按照仙游县“统筹规划、适度超前、效益综合”的工作要求，结合郊尾镇实际情况，为改善片区周边人民的居住环境，提高人民的幸福感，希冀以成片开发为依托，进而加强农村基础设施和公共服务设施建设，改善人居环境，推进新城建设发展。</w:t>
      </w:r>
    </w:p>
    <w:p>
      <w:pPr>
        <w:ind w:firstLine="560" w:firstLineChars="200"/>
        <w:rPr>
          <w:rFonts w:hint="eastAsia"/>
          <w:b w:val="0"/>
          <w:bCs w:val="0"/>
          <w:sz w:val="28"/>
          <w:szCs w:val="36"/>
          <w:highlight w:val="none"/>
          <w:lang w:val="en-US" w:eastAsia="zh-Hans"/>
        </w:rPr>
      </w:pPr>
      <w:r>
        <w:rPr>
          <w:rFonts w:hint="eastAsia"/>
          <w:b w:val="0"/>
          <w:bCs w:val="0"/>
          <w:sz w:val="28"/>
          <w:szCs w:val="36"/>
          <w:highlight w:val="none"/>
          <w:lang w:val="en-US" w:eastAsia="zh-Hans"/>
        </w:rPr>
        <w:t>本方案在原有空地的基础上，</w:t>
      </w:r>
      <w:r>
        <w:rPr>
          <w:rFonts w:hint="eastAsia"/>
          <w:b w:val="0"/>
          <w:bCs w:val="0"/>
          <w:sz w:val="28"/>
          <w:szCs w:val="36"/>
          <w:highlight w:val="none"/>
          <w:lang w:val="en-US" w:eastAsia="zh-CN"/>
        </w:rPr>
        <w:t>规划</w:t>
      </w:r>
      <w:r>
        <w:rPr>
          <w:rFonts w:hint="eastAsia"/>
          <w:b w:val="0"/>
          <w:bCs w:val="0"/>
          <w:sz w:val="28"/>
          <w:szCs w:val="36"/>
          <w:highlight w:val="none"/>
          <w:lang w:val="en-US" w:eastAsia="zh-Hans"/>
        </w:rPr>
        <w:t>城镇道路用地0.5134公顷、公路用地0.4375公顷、城镇社区服务设施用地1.1696公顷、城镇住宅用地6.8080公顷、防护绿地0.3836公顷、公园绿地2.1789公顷。将“加快补齐城镇基础设施和公共服务短板，提升城镇化发展质量和水平”落实到位，达到完善社区的公共服务配套，使周边村落的人民生活更加便利，绿化环境更加优美。随着成片开发的实施，后续的市政基建也会更加完善，更快的完成六通一平，提升人民的居住舒适感，为打造宜居宜业美丽乡村建设贡献力量，为郊尾镇发展成现代型宜居宜业的新型城镇添砖加瓦。</w:t>
      </w:r>
    </w:p>
    <w:p>
      <w:pPr>
        <w:ind w:firstLine="560" w:firstLineChars="200"/>
        <w:rPr>
          <w:rFonts w:hint="eastAsia" w:asciiTheme="minorHAnsi" w:hAnsiTheme="minorHAnsi" w:eastAsiaTheme="minorEastAsia" w:cstheme="minorBidi"/>
          <w:b w:val="0"/>
          <w:bCs w:val="0"/>
          <w:kern w:val="2"/>
          <w:sz w:val="28"/>
          <w:szCs w:val="36"/>
          <w:highlight w:val="none"/>
          <w:lang w:val="en-US" w:eastAsia="zh-Hans" w:bidi="ar-SA"/>
        </w:rPr>
      </w:pPr>
      <w:r>
        <w:rPr>
          <w:rFonts w:hint="eastAsia"/>
          <w:b w:val="0"/>
          <w:bCs w:val="0"/>
          <w:sz w:val="28"/>
          <w:szCs w:val="36"/>
          <w:highlight w:val="none"/>
          <w:lang w:val="en-US" w:eastAsia="zh-Hans"/>
        </w:rPr>
        <w:t xml:space="preserve"> 土地资源紧张作为长期遏制仙游县经济社会发展的主要障碍，本方案将进一步破解发展瓶颈，拓展仙游县西部城市发展空间。通过对本片区统一规划，统一管理，并结合周边土地完善交通路网，健全市政基础设施，避免低效重复建设，促进节约集约用地，提升城市综合承载能力，在一定程度上推进了城镇化建设，为仙游县的城乡统筹发展提供了良好条件。</w:t>
      </w:r>
    </w:p>
    <w:p>
      <w:pPr>
        <w:pStyle w:val="8"/>
        <w:numPr>
          <w:ilvl w:val="0"/>
          <w:numId w:val="1"/>
        </w:numPr>
        <w:ind w:firstLineChars="0"/>
        <w:rPr>
          <w:rFonts w:ascii="宋体" w:hAnsi="宋体" w:eastAsia="宋体"/>
          <w:b/>
          <w:bCs/>
          <w:sz w:val="28"/>
          <w:szCs w:val="28"/>
        </w:rPr>
      </w:pPr>
      <w:r>
        <w:rPr>
          <w:rFonts w:hint="eastAsia" w:ascii="宋体" w:hAnsi="宋体" w:eastAsia="宋体"/>
          <w:b/>
          <w:bCs/>
          <w:sz w:val="28"/>
          <w:szCs w:val="28"/>
        </w:rPr>
        <w:t>功能分析</w:t>
      </w:r>
    </w:p>
    <w:p>
      <w:pPr>
        <w:pStyle w:val="8"/>
        <w:ind w:firstLine="560"/>
        <w:rPr>
          <w:rFonts w:hint="default" w:ascii="Times New Roman Regular" w:hAnsi="Times New Roman Regular" w:cs="Times New Roman Regular" w:eastAsiaTheme="minorEastAsia"/>
          <w:b w:val="0"/>
          <w:bCs w:val="0"/>
          <w:sz w:val="28"/>
          <w:szCs w:val="28"/>
          <w:highlight w:val="none"/>
          <w:lang w:val="en-US" w:eastAsia="zh-CN"/>
        </w:rPr>
      </w:pPr>
      <w:r>
        <w:rPr>
          <w:rFonts w:hint="default" w:ascii="Times New Roman Regular" w:hAnsi="Times New Roman Regular" w:cs="Times New Roman Regular" w:eastAsiaTheme="minorEastAsia"/>
          <w:b w:val="0"/>
          <w:bCs w:val="0"/>
          <w:sz w:val="28"/>
          <w:szCs w:val="28"/>
          <w:highlight w:val="none"/>
          <w:lang w:val="en-US" w:eastAsia="zh-CN"/>
        </w:rPr>
        <w:t>本方案用地总面积</w:t>
      </w:r>
      <w:r>
        <w:rPr>
          <w:rFonts w:hint="eastAsia" w:ascii="Times New Roman Regular" w:hAnsi="Times New Roman Regular" w:cs="Times New Roman Regular"/>
          <w:b w:val="0"/>
          <w:bCs w:val="0"/>
          <w:sz w:val="28"/>
          <w:szCs w:val="28"/>
          <w:highlight w:val="none"/>
          <w:lang w:val="en-US" w:eastAsia="zh-CN"/>
        </w:rPr>
        <w:t>11.4910</w:t>
      </w:r>
      <w:r>
        <w:rPr>
          <w:rFonts w:hint="default" w:ascii="Times New Roman Regular" w:hAnsi="Times New Roman Regular" w:cs="Times New Roman Regular" w:eastAsiaTheme="minorEastAsia"/>
          <w:b w:val="0"/>
          <w:bCs w:val="0"/>
          <w:sz w:val="28"/>
          <w:szCs w:val="28"/>
          <w:highlight w:val="none"/>
          <w:lang w:val="en-US" w:eastAsia="zh-CN"/>
        </w:rPr>
        <w:t>公顷，主要用途为绿地与开敞空间用地、交通运输用地、</w:t>
      </w:r>
      <w:r>
        <w:rPr>
          <w:rFonts w:hint="eastAsia" w:ascii="Times New Roman Regular" w:hAnsi="Times New Roman Regular" w:cs="Times New Roman Regular"/>
          <w:b w:val="0"/>
          <w:bCs w:val="0"/>
          <w:sz w:val="28"/>
          <w:szCs w:val="28"/>
          <w:highlight w:val="none"/>
          <w:lang w:val="en-US" w:eastAsia="zh-CN"/>
        </w:rPr>
        <w:t>居住用地</w:t>
      </w:r>
      <w:r>
        <w:rPr>
          <w:rFonts w:hint="default" w:ascii="Times New Roman Regular" w:hAnsi="Times New Roman Regular" w:cs="Times New Roman Regular" w:eastAsiaTheme="minorEastAsia"/>
          <w:b w:val="0"/>
          <w:bCs w:val="0"/>
          <w:sz w:val="28"/>
          <w:szCs w:val="28"/>
          <w:highlight w:val="none"/>
          <w:lang w:val="en-US" w:eastAsia="zh-CN"/>
        </w:rPr>
        <w:t>。其中，绿地与开敞空间用地面积</w:t>
      </w:r>
      <w:r>
        <w:rPr>
          <w:rFonts w:hint="eastAsia" w:ascii="Times New Roman Regular" w:hAnsi="Times New Roman Regular" w:cs="Times New Roman Regular"/>
          <w:b w:val="0"/>
          <w:bCs w:val="0"/>
          <w:sz w:val="28"/>
          <w:szCs w:val="28"/>
          <w:highlight w:val="none"/>
          <w:lang w:val="en-US" w:eastAsia="zh-CN"/>
        </w:rPr>
        <w:t>2.5625</w:t>
      </w:r>
      <w:r>
        <w:rPr>
          <w:rFonts w:hint="default" w:ascii="Times New Roman Regular" w:hAnsi="Times New Roman Regular" w:cs="Times New Roman Regular" w:eastAsiaTheme="minorEastAsia"/>
          <w:b w:val="0"/>
          <w:bCs w:val="0"/>
          <w:sz w:val="28"/>
          <w:szCs w:val="28"/>
          <w:highlight w:val="none"/>
          <w:lang w:val="en-US" w:eastAsia="zh-CN"/>
        </w:rPr>
        <w:t>公顷，实现卫生、隔离和保护环境功能；交通运输用地面积</w:t>
      </w:r>
      <w:r>
        <w:rPr>
          <w:rFonts w:hint="eastAsia" w:ascii="Times New Roman Regular" w:hAnsi="Times New Roman Regular" w:cs="Times New Roman Regular"/>
          <w:b w:val="0"/>
          <w:bCs w:val="0"/>
          <w:sz w:val="28"/>
          <w:szCs w:val="28"/>
          <w:highlight w:val="none"/>
          <w:lang w:val="en-US" w:eastAsia="zh-CN"/>
        </w:rPr>
        <w:t>0.9509</w:t>
      </w:r>
      <w:r>
        <w:rPr>
          <w:rFonts w:hint="default" w:ascii="Times New Roman Regular" w:hAnsi="Times New Roman Regular" w:cs="Times New Roman Regular" w:eastAsiaTheme="minorEastAsia"/>
          <w:b w:val="0"/>
          <w:bCs w:val="0"/>
          <w:sz w:val="28"/>
          <w:szCs w:val="28"/>
          <w:highlight w:val="none"/>
          <w:lang w:val="en-US" w:eastAsia="zh-CN"/>
        </w:rPr>
        <w:t>公顷，实现完善城镇内部交通系统功能；</w:t>
      </w:r>
      <w:r>
        <w:rPr>
          <w:rFonts w:hint="eastAsia" w:ascii="Times New Roman Regular" w:hAnsi="Times New Roman Regular" w:cs="Times New Roman Regular"/>
          <w:b w:val="0"/>
          <w:bCs w:val="0"/>
          <w:sz w:val="28"/>
          <w:szCs w:val="28"/>
          <w:highlight w:val="none"/>
          <w:lang w:val="en-US" w:eastAsia="zh-CN"/>
        </w:rPr>
        <w:t>居住用地</w:t>
      </w:r>
      <w:r>
        <w:rPr>
          <w:rFonts w:hint="default" w:ascii="Times New Roman Regular" w:hAnsi="Times New Roman Regular" w:cs="Times New Roman Regular" w:eastAsiaTheme="minorEastAsia"/>
          <w:b w:val="0"/>
          <w:bCs w:val="0"/>
          <w:sz w:val="28"/>
          <w:szCs w:val="28"/>
          <w:highlight w:val="none"/>
          <w:lang w:val="en-US" w:eastAsia="zh-CN"/>
        </w:rPr>
        <w:t>面积</w:t>
      </w:r>
      <w:r>
        <w:rPr>
          <w:rFonts w:hint="eastAsia" w:ascii="Times New Roman Regular" w:hAnsi="Times New Roman Regular" w:cs="Times New Roman Regular"/>
          <w:b w:val="0"/>
          <w:bCs w:val="0"/>
          <w:sz w:val="28"/>
          <w:szCs w:val="28"/>
          <w:highlight w:val="none"/>
          <w:lang w:val="en-US" w:eastAsia="zh-CN"/>
        </w:rPr>
        <w:t>7.9776</w:t>
      </w:r>
      <w:r>
        <w:rPr>
          <w:rFonts w:hint="default" w:ascii="Times New Roman Regular" w:hAnsi="Times New Roman Regular" w:cs="Times New Roman Regular" w:eastAsiaTheme="minorEastAsia"/>
          <w:b w:val="0"/>
          <w:bCs w:val="0"/>
          <w:sz w:val="28"/>
          <w:szCs w:val="28"/>
          <w:highlight w:val="none"/>
          <w:lang w:val="en-US" w:eastAsia="zh-CN"/>
        </w:rPr>
        <w:t>公顷，实现居住开发、完善居住配套设施、改善人居环境功能。</w:t>
      </w:r>
    </w:p>
    <w:p>
      <w:pPr>
        <w:pStyle w:val="8"/>
        <w:numPr>
          <w:ilvl w:val="0"/>
          <w:numId w:val="1"/>
        </w:numPr>
        <w:ind w:firstLineChars="0"/>
        <w:rPr>
          <w:rFonts w:ascii="宋体" w:hAnsi="宋体" w:eastAsia="宋体"/>
          <w:b/>
          <w:bCs/>
          <w:sz w:val="28"/>
          <w:szCs w:val="28"/>
        </w:rPr>
      </w:pPr>
      <w:r>
        <w:rPr>
          <w:rFonts w:hint="eastAsia" w:ascii="宋体" w:hAnsi="宋体" w:eastAsia="宋体"/>
          <w:b/>
          <w:bCs/>
          <w:sz w:val="28"/>
          <w:szCs w:val="28"/>
        </w:rPr>
        <w:t>项目的公建配比情况</w:t>
      </w:r>
    </w:p>
    <w:p>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default" w:ascii="Times New Roman Regular" w:hAnsi="Times New Roman Regular" w:cs="Times New Roman Regular" w:eastAsiaTheme="minorEastAsia"/>
          <w:b w:val="0"/>
          <w:bCs w:val="0"/>
          <w:sz w:val="28"/>
          <w:szCs w:val="28"/>
          <w:highlight w:val="none"/>
          <w:lang w:val="en-US" w:eastAsia="zh-CN"/>
        </w:rPr>
      </w:pPr>
      <w:r>
        <w:rPr>
          <w:rFonts w:hint="default" w:ascii="Times New Roman Regular" w:hAnsi="Times New Roman Regular" w:cs="Times New Roman Regular" w:eastAsiaTheme="minorEastAsia"/>
          <w:b w:val="0"/>
          <w:bCs w:val="0"/>
          <w:sz w:val="28"/>
          <w:szCs w:val="28"/>
          <w:highlight w:val="none"/>
          <w:lang w:val="en-US" w:eastAsia="zh-CN"/>
        </w:rPr>
        <w:t>公益性用地包含交通运输用地（城镇道路用地</w:t>
      </w:r>
      <w:r>
        <w:rPr>
          <w:rFonts w:hint="eastAsia" w:ascii="Times New Roman Regular" w:hAnsi="Times New Roman Regular" w:cs="Times New Roman Regular"/>
          <w:b w:val="0"/>
          <w:bCs w:val="0"/>
          <w:sz w:val="28"/>
          <w:szCs w:val="28"/>
          <w:highlight w:val="none"/>
          <w:lang w:val="en-US" w:eastAsia="zh-CN"/>
        </w:rPr>
        <w:t>和公路用地</w:t>
      </w:r>
      <w:r>
        <w:rPr>
          <w:rFonts w:hint="default" w:ascii="Times New Roman Regular" w:hAnsi="Times New Roman Regular" w:cs="Times New Roman Regular" w:eastAsiaTheme="minorEastAsia"/>
          <w:b w:val="0"/>
          <w:bCs w:val="0"/>
          <w:sz w:val="28"/>
          <w:szCs w:val="28"/>
          <w:highlight w:val="none"/>
          <w:lang w:val="en-US" w:eastAsia="zh-CN"/>
        </w:rPr>
        <w:t>）、绿地与开敞空间用地（公园绿地和防护绿地），合计</w:t>
      </w:r>
      <w:r>
        <w:rPr>
          <w:rFonts w:hint="eastAsia" w:ascii="Times New Roman Regular" w:hAnsi="Times New Roman Regular" w:cs="Times New Roman Regular"/>
          <w:b w:val="0"/>
          <w:bCs w:val="0"/>
          <w:sz w:val="28"/>
          <w:szCs w:val="28"/>
          <w:highlight w:val="none"/>
          <w:lang w:val="en-US" w:eastAsia="zh-CN"/>
        </w:rPr>
        <w:t>4.6830</w:t>
      </w:r>
      <w:r>
        <w:rPr>
          <w:rFonts w:hint="default" w:ascii="Times New Roman Regular" w:hAnsi="Times New Roman Regular" w:cs="Times New Roman Regular" w:eastAsiaTheme="minorEastAsia"/>
          <w:b w:val="0"/>
          <w:bCs w:val="0"/>
          <w:sz w:val="28"/>
          <w:szCs w:val="28"/>
          <w:highlight w:val="none"/>
          <w:lang w:val="en-US" w:eastAsia="zh-CN"/>
        </w:rPr>
        <w:t>公顷，占用地总面积的</w:t>
      </w:r>
      <w:r>
        <w:rPr>
          <w:rFonts w:hint="eastAsia" w:ascii="Times New Roman Regular" w:hAnsi="Times New Roman Regular" w:cs="Times New Roman Regular"/>
          <w:b w:val="0"/>
          <w:bCs w:val="0"/>
          <w:sz w:val="28"/>
          <w:szCs w:val="28"/>
          <w:highlight w:val="none"/>
          <w:lang w:val="en-US" w:eastAsia="zh-CN"/>
        </w:rPr>
        <w:t>40.75</w:t>
      </w:r>
      <w:r>
        <w:rPr>
          <w:rFonts w:hint="default" w:ascii="Times New Roman Regular" w:hAnsi="Times New Roman Regular" w:cs="Times New Roman Regular" w:eastAsiaTheme="minorEastAsia"/>
          <w:b w:val="0"/>
          <w:bCs w:val="0"/>
          <w:sz w:val="28"/>
          <w:szCs w:val="28"/>
          <w:highlight w:val="none"/>
          <w:lang w:val="en-US" w:eastAsia="zh-CN"/>
        </w:rPr>
        <w:t>%，符合自然资规〔2020〕5号文规定。</w:t>
      </w:r>
    </w:p>
    <w:p>
      <w:pPr>
        <w:pStyle w:val="8"/>
        <w:numPr>
          <w:ilvl w:val="0"/>
          <w:numId w:val="1"/>
        </w:numPr>
        <w:ind w:firstLineChars="0"/>
        <w:rPr>
          <w:rFonts w:ascii="宋体" w:hAnsi="宋体" w:eastAsia="宋体"/>
          <w:b/>
          <w:bCs/>
          <w:sz w:val="28"/>
          <w:szCs w:val="28"/>
        </w:rPr>
      </w:pPr>
      <w:r>
        <w:rPr>
          <w:rFonts w:hint="eastAsia" w:ascii="宋体" w:hAnsi="宋体" w:eastAsia="宋体"/>
          <w:b/>
          <w:bCs/>
          <w:sz w:val="28"/>
          <w:szCs w:val="28"/>
        </w:rPr>
        <w:t>效益评估</w:t>
      </w:r>
    </w:p>
    <w:p>
      <w:pPr>
        <w:pStyle w:val="5"/>
        <w:snapToGrid w:val="0"/>
        <w:spacing w:before="0" w:beforeAutospacing="0" w:after="0" w:afterLines="0" w:afterAutospacing="0" w:line="560" w:lineRule="exact"/>
        <w:ind w:left="0" w:right="0" w:firstLine="560" w:firstLineChars="200"/>
        <w:jc w:val="both"/>
        <w:textAlignment w:val="baseline"/>
        <w:rPr>
          <w:rFonts w:hint="eastAsia" w:ascii="Times New Roman Regular" w:hAnsi="Times New Roman Regular" w:cs="Times New Roman Regular" w:eastAsiaTheme="minorEastAsia"/>
          <w:b w:val="0"/>
          <w:bCs w:val="0"/>
          <w:kern w:val="2"/>
          <w:sz w:val="28"/>
          <w:szCs w:val="28"/>
          <w:highlight w:val="none"/>
          <w:lang w:val="en-US" w:eastAsia="zh-CN" w:bidi="ar-SA"/>
        </w:rPr>
      </w:pPr>
      <w:r>
        <w:rPr>
          <w:rFonts w:hint="eastAsia" w:ascii="Times New Roman Regular" w:hAnsi="Times New Roman Regular" w:cs="Times New Roman Regular" w:eastAsiaTheme="minorEastAsia"/>
          <w:b w:val="0"/>
          <w:bCs w:val="0"/>
          <w:kern w:val="2"/>
          <w:sz w:val="28"/>
          <w:szCs w:val="28"/>
          <w:highlight w:val="none"/>
          <w:lang w:val="en-US" w:eastAsia="zh-CN" w:bidi="ar-SA"/>
        </w:rPr>
        <w:t>一、土地利用效益</w:t>
      </w:r>
    </w:p>
    <w:p>
      <w:pPr>
        <w:pStyle w:val="5"/>
        <w:snapToGrid w:val="0"/>
        <w:spacing w:before="0" w:beforeAutospacing="0" w:after="0" w:afterLines="0" w:afterAutospacing="0" w:line="560" w:lineRule="exact"/>
        <w:ind w:left="0" w:right="0" w:firstLine="560" w:firstLineChars="200"/>
        <w:jc w:val="both"/>
        <w:textAlignment w:val="baseline"/>
        <w:rPr>
          <w:rFonts w:hint="eastAsia" w:ascii="Times New Roman Regular" w:hAnsi="Times New Roman Regular" w:cs="Times New Roman Regular" w:eastAsiaTheme="minorEastAsia"/>
          <w:b w:val="0"/>
          <w:bCs w:val="0"/>
          <w:kern w:val="2"/>
          <w:sz w:val="28"/>
          <w:szCs w:val="28"/>
          <w:highlight w:val="none"/>
          <w:lang w:val="en-US" w:eastAsia="zh-CN" w:bidi="ar-SA"/>
        </w:rPr>
      </w:pPr>
      <w:r>
        <w:rPr>
          <w:rFonts w:hint="eastAsia" w:ascii="Times New Roman Regular" w:hAnsi="Times New Roman Regular" w:cs="Times New Roman Regular" w:eastAsiaTheme="minorEastAsia"/>
          <w:b w:val="0"/>
          <w:bCs w:val="0"/>
          <w:kern w:val="2"/>
          <w:sz w:val="28"/>
          <w:szCs w:val="28"/>
          <w:highlight w:val="none"/>
          <w:lang w:val="en-US" w:eastAsia="zh-CN" w:bidi="ar-SA"/>
        </w:rPr>
        <w:t>本方案通过合理安排用地规模、结构和布局，充分节约集约用地，提高土地利用效率，为郊尾镇城乡统筹发展提供资源保障。</w:t>
      </w:r>
    </w:p>
    <w:p>
      <w:pPr>
        <w:pStyle w:val="5"/>
        <w:snapToGrid w:val="0"/>
        <w:spacing w:before="0" w:beforeAutospacing="0" w:after="0" w:afterLines="0" w:afterAutospacing="0" w:line="560" w:lineRule="exact"/>
        <w:ind w:left="0" w:right="0" w:firstLine="560" w:firstLineChars="200"/>
        <w:jc w:val="both"/>
        <w:textAlignment w:val="baseline"/>
        <w:rPr>
          <w:rFonts w:hint="eastAsia" w:ascii="Times New Roman Regular" w:hAnsi="Times New Roman Regular" w:cs="Times New Roman Regular" w:eastAsiaTheme="minorEastAsia"/>
          <w:b w:val="0"/>
          <w:bCs w:val="0"/>
          <w:kern w:val="2"/>
          <w:sz w:val="28"/>
          <w:szCs w:val="28"/>
          <w:highlight w:val="none"/>
          <w:lang w:val="en-US" w:eastAsia="zh-CN" w:bidi="ar-SA"/>
        </w:rPr>
      </w:pPr>
      <w:r>
        <w:rPr>
          <w:rFonts w:hint="eastAsia" w:ascii="Times New Roman Regular" w:hAnsi="Times New Roman Regular" w:cs="Times New Roman Regular" w:eastAsiaTheme="minorEastAsia"/>
          <w:b w:val="0"/>
          <w:bCs w:val="0"/>
          <w:kern w:val="2"/>
          <w:sz w:val="28"/>
          <w:szCs w:val="28"/>
          <w:highlight w:val="none"/>
          <w:lang w:val="en-US" w:eastAsia="zh-CN" w:bidi="ar-SA"/>
        </w:rPr>
        <w:t>本次成片开发范围用地面积11.4910公顷，其中，城镇住宅用地6.8080公顷，住宅用地按容积率2.2，建筑密度达35%。充分发挥土地利用效益，优化资源配置，完善郊尾普通住宅一号片区的功能配套，提高人居生活质量，打造可持续发展社区。</w:t>
      </w:r>
    </w:p>
    <w:p>
      <w:pPr>
        <w:pStyle w:val="5"/>
        <w:snapToGrid w:val="0"/>
        <w:spacing w:before="0" w:beforeAutospacing="0" w:after="0" w:afterLines="0" w:afterAutospacing="0" w:line="560" w:lineRule="exact"/>
        <w:ind w:left="0" w:right="0" w:firstLine="560" w:firstLineChars="200"/>
        <w:jc w:val="both"/>
        <w:textAlignment w:val="baseline"/>
        <w:rPr>
          <w:rFonts w:hint="eastAsia" w:ascii="Times New Roman Regular" w:hAnsi="Times New Roman Regular" w:cs="Times New Roman Regular" w:eastAsiaTheme="minorEastAsia"/>
          <w:b w:val="0"/>
          <w:bCs w:val="0"/>
          <w:kern w:val="2"/>
          <w:sz w:val="28"/>
          <w:szCs w:val="28"/>
          <w:highlight w:val="none"/>
          <w:lang w:val="en-US" w:eastAsia="zh-CN" w:bidi="ar-SA"/>
        </w:rPr>
      </w:pPr>
      <w:r>
        <w:rPr>
          <w:rFonts w:hint="eastAsia" w:ascii="Times New Roman Regular" w:hAnsi="Times New Roman Regular" w:cs="Times New Roman Regular" w:eastAsiaTheme="minorEastAsia"/>
          <w:b w:val="0"/>
          <w:bCs w:val="0"/>
          <w:kern w:val="2"/>
          <w:sz w:val="28"/>
          <w:szCs w:val="28"/>
          <w:highlight w:val="none"/>
          <w:lang w:val="en-US" w:eastAsia="zh-CN" w:bidi="ar-SA"/>
        </w:rPr>
        <w:t xml:space="preserve">二、经济效益 </w:t>
      </w:r>
    </w:p>
    <w:p>
      <w:pPr>
        <w:pStyle w:val="5"/>
        <w:snapToGrid w:val="0"/>
        <w:spacing w:before="0" w:beforeAutospacing="0" w:after="0" w:afterLines="0" w:afterAutospacing="0" w:line="560" w:lineRule="exact"/>
        <w:ind w:left="0" w:right="0" w:firstLine="560" w:firstLineChars="200"/>
        <w:jc w:val="both"/>
        <w:textAlignment w:val="baseline"/>
        <w:rPr>
          <w:rFonts w:hint="eastAsia" w:ascii="Times New Roman Regular" w:hAnsi="Times New Roman Regular" w:cs="Times New Roman Regular" w:eastAsiaTheme="minorEastAsia"/>
          <w:b w:val="0"/>
          <w:bCs w:val="0"/>
          <w:kern w:val="2"/>
          <w:sz w:val="28"/>
          <w:szCs w:val="28"/>
          <w:highlight w:val="none"/>
          <w:lang w:val="en-US" w:eastAsia="zh-CN" w:bidi="ar-SA"/>
        </w:rPr>
      </w:pPr>
      <w:r>
        <w:rPr>
          <w:rFonts w:hint="eastAsia" w:ascii="Times New Roman Regular" w:hAnsi="Times New Roman Regular" w:cs="Times New Roman Regular" w:eastAsiaTheme="minorEastAsia"/>
          <w:b w:val="0"/>
          <w:bCs w:val="0"/>
          <w:kern w:val="2"/>
          <w:sz w:val="28"/>
          <w:szCs w:val="28"/>
          <w:highlight w:val="none"/>
          <w:lang w:val="en-US" w:eastAsia="zh-CN" w:bidi="ar-SA"/>
        </w:rPr>
        <w:t>本方案把保护与合理利用统一起来，把城镇建设与乡村发展结合起来，扩展城市发展空间，缓解住房压力。本成片开发通过住宅项目的建设，提高周边的公共服务设施水平，促进商业、休闲业等第三产业的发展，提升片区及周边区域人口流动和商业活力。成片开发后在建设、交易、经营过程预计可实现各项税收收入约1560万元，具有较好的经济效益。</w:t>
      </w:r>
    </w:p>
    <w:p>
      <w:pPr>
        <w:pStyle w:val="5"/>
        <w:snapToGrid w:val="0"/>
        <w:spacing w:before="0" w:beforeAutospacing="0" w:after="0" w:afterLines="0" w:afterAutospacing="0" w:line="560" w:lineRule="exact"/>
        <w:ind w:left="0" w:right="0" w:firstLine="560" w:firstLineChars="200"/>
        <w:jc w:val="both"/>
        <w:textAlignment w:val="baseline"/>
        <w:rPr>
          <w:rFonts w:hint="eastAsia" w:ascii="Times New Roman Regular" w:hAnsi="Times New Roman Regular" w:cs="Times New Roman Regular" w:eastAsiaTheme="minorEastAsia"/>
          <w:b w:val="0"/>
          <w:bCs w:val="0"/>
          <w:kern w:val="2"/>
          <w:sz w:val="28"/>
          <w:szCs w:val="28"/>
          <w:highlight w:val="none"/>
          <w:lang w:val="en-US" w:eastAsia="zh-CN" w:bidi="ar-SA"/>
        </w:rPr>
      </w:pPr>
      <w:r>
        <w:rPr>
          <w:rFonts w:hint="eastAsia" w:ascii="Times New Roman Regular" w:hAnsi="Times New Roman Regular" w:cs="Times New Roman Regular" w:eastAsiaTheme="minorEastAsia"/>
          <w:b w:val="0"/>
          <w:bCs w:val="0"/>
          <w:kern w:val="2"/>
          <w:sz w:val="28"/>
          <w:szCs w:val="28"/>
          <w:highlight w:val="none"/>
          <w:lang w:val="en-US" w:eastAsia="zh-CN" w:bidi="ar-SA"/>
        </w:rPr>
        <w:t>三、社会效益</w:t>
      </w:r>
    </w:p>
    <w:p>
      <w:pPr>
        <w:pStyle w:val="5"/>
        <w:snapToGrid w:val="0"/>
        <w:spacing w:before="0" w:beforeAutospacing="0" w:after="0" w:afterLines="0" w:afterAutospacing="0" w:line="560" w:lineRule="exact"/>
        <w:ind w:left="0" w:right="0" w:firstLine="560" w:firstLineChars="200"/>
        <w:jc w:val="both"/>
        <w:textAlignment w:val="baseline"/>
        <w:rPr>
          <w:rFonts w:hint="eastAsia" w:ascii="Times New Roman Regular" w:hAnsi="Times New Roman Regular" w:cs="Times New Roman Regular" w:eastAsiaTheme="minorEastAsia"/>
          <w:b w:val="0"/>
          <w:bCs w:val="0"/>
          <w:kern w:val="2"/>
          <w:sz w:val="28"/>
          <w:szCs w:val="28"/>
          <w:highlight w:val="none"/>
          <w:lang w:val="en-US" w:eastAsia="zh-CN" w:bidi="ar-SA"/>
        </w:rPr>
      </w:pPr>
      <w:r>
        <w:rPr>
          <w:rFonts w:hint="eastAsia" w:ascii="Times New Roman Regular" w:hAnsi="Times New Roman Regular" w:cs="Times New Roman Regular" w:eastAsiaTheme="minorEastAsia"/>
          <w:b w:val="0"/>
          <w:bCs w:val="0"/>
          <w:kern w:val="2"/>
          <w:sz w:val="28"/>
          <w:szCs w:val="28"/>
          <w:highlight w:val="none"/>
          <w:lang w:val="en-US" w:eastAsia="zh-CN" w:bidi="ar-SA"/>
        </w:rPr>
        <w:t>成片开发对基础设施建设统一规划、开发、管理，有效改善现有落后的基础设施情况，提升人居环境，增强人民群众获得感和幸福感。本次成片开发方案可新增城镇住宅用地面积6.8080公顷，预计可容纳3400余人。拟建一个社区服务中心、一所幼儿园，改善人居环境，提升服务品质。本方案以居住项目为核心，通过提升常住人口促进经济消费发展，提高第三产业比例，为周边居民和农业人口创造就业机会和工作岗位，有利于缓解本地居民就业压力、提高当地居民收入水平、促进城乡融合发展。</w:t>
      </w:r>
    </w:p>
    <w:p>
      <w:pPr>
        <w:pStyle w:val="5"/>
        <w:snapToGrid w:val="0"/>
        <w:spacing w:before="0" w:beforeAutospacing="0" w:after="0" w:afterLines="0" w:afterAutospacing="0" w:line="560" w:lineRule="exact"/>
        <w:ind w:left="0" w:right="0" w:firstLine="560" w:firstLineChars="200"/>
        <w:jc w:val="both"/>
        <w:textAlignment w:val="baseline"/>
        <w:rPr>
          <w:rFonts w:hint="eastAsia" w:ascii="Times New Roman Regular" w:hAnsi="Times New Roman Regular" w:cs="Times New Roman Regular" w:eastAsiaTheme="minorEastAsia"/>
          <w:b w:val="0"/>
          <w:bCs w:val="0"/>
          <w:kern w:val="2"/>
          <w:sz w:val="28"/>
          <w:szCs w:val="28"/>
          <w:highlight w:val="none"/>
          <w:lang w:val="en-US" w:eastAsia="zh-CN" w:bidi="ar-SA"/>
        </w:rPr>
      </w:pPr>
      <w:r>
        <w:rPr>
          <w:rFonts w:hint="eastAsia" w:ascii="Times New Roman Regular" w:hAnsi="Times New Roman Regular" w:cs="Times New Roman Regular" w:eastAsiaTheme="minorEastAsia"/>
          <w:b w:val="0"/>
          <w:bCs w:val="0"/>
          <w:kern w:val="2"/>
          <w:sz w:val="28"/>
          <w:szCs w:val="28"/>
          <w:highlight w:val="none"/>
          <w:lang w:val="en-US" w:eastAsia="zh-CN" w:bidi="ar-SA"/>
        </w:rPr>
        <w:t>四、生态效益</w:t>
      </w:r>
    </w:p>
    <w:p>
      <w:pPr>
        <w:pStyle w:val="5"/>
        <w:snapToGrid w:val="0"/>
        <w:spacing w:before="0" w:beforeAutospacing="0" w:after="0" w:afterLines="0" w:afterAutospacing="0" w:line="560" w:lineRule="exact"/>
        <w:ind w:left="0" w:right="0" w:firstLine="560" w:firstLineChars="200"/>
        <w:jc w:val="both"/>
        <w:textAlignment w:val="baseline"/>
        <w:rPr>
          <w:rFonts w:hint="eastAsia" w:ascii="Times New Roman Regular" w:hAnsi="Times New Roman Regular" w:cs="Times New Roman Regular" w:eastAsiaTheme="minorEastAsia"/>
          <w:b w:val="0"/>
          <w:bCs w:val="0"/>
          <w:kern w:val="2"/>
          <w:sz w:val="28"/>
          <w:szCs w:val="28"/>
          <w:highlight w:val="none"/>
          <w:lang w:val="en-US" w:eastAsia="zh-CN" w:bidi="ar-SA"/>
        </w:rPr>
      </w:pPr>
      <w:r>
        <w:rPr>
          <w:rFonts w:hint="eastAsia" w:ascii="Times New Roman Regular" w:hAnsi="Times New Roman Regular" w:cs="Times New Roman Regular" w:eastAsiaTheme="minorEastAsia"/>
          <w:b w:val="0"/>
          <w:bCs w:val="0"/>
          <w:kern w:val="2"/>
          <w:sz w:val="28"/>
          <w:szCs w:val="28"/>
          <w:highlight w:val="none"/>
          <w:lang w:val="en-US" w:eastAsia="zh-CN" w:bidi="ar-SA"/>
        </w:rPr>
        <w:t>郊尾普通住宅一号片区作为郊尾镇区的综合公园景观风貌带，需要合理利用沧溪宝贵的水环境及其他自然景观的特点，强调绿景和水景向居住空间的渗透，从而塑造以人为本，人居相依的居住氛围；以多层住宅为主的居住小区建筑布置前后、左右交错，围合成相对闭合的社区空间，景观统一而有变化；以小高层和多层住宅为主的居住小区建筑布置灵活多样，与蜿蜒的水岸形成呼应，充分享受绿色景观，形成景观型的居住社区空间特征。方案中公园绿地和防护绿地拟建设2.5625公顷，占成片开发范围内建设用地面积比例达22.30%，能够有效减少噪音污染，恢复生态绿化功能，改善城市风貌，使得本片区区域生态环境实现良性循环，形成人文与自然相融合人的绿色开发建设体系，实现人与自然、经济发展与资源环境协调、可持续发展。</w:t>
      </w:r>
    </w:p>
    <w:p>
      <w:pPr>
        <w:pStyle w:val="9"/>
        <w:numPr>
          <w:ilvl w:val="0"/>
          <w:numId w:val="1"/>
        </w:numPr>
        <w:ind w:firstLineChars="0"/>
        <w:rPr>
          <w:rFonts w:ascii="宋体" w:hAnsi="宋体" w:eastAsia="宋体"/>
          <w:b/>
          <w:bCs/>
          <w:sz w:val="28"/>
          <w:szCs w:val="28"/>
        </w:rPr>
      </w:pPr>
      <w:r>
        <w:rPr>
          <w:rFonts w:hint="eastAsia" w:ascii="宋体" w:hAnsi="宋体" w:eastAsia="宋体"/>
          <w:b/>
          <w:bCs/>
          <w:sz w:val="28"/>
          <w:szCs w:val="28"/>
        </w:rPr>
        <w:t>永久基本农田及生态保护情况</w:t>
      </w:r>
    </w:p>
    <w:p>
      <w:pPr>
        <w:pStyle w:val="9"/>
        <w:ind w:firstLine="560"/>
        <w:rPr>
          <w:rFonts w:ascii="宋体" w:hAnsi="宋体" w:eastAsia="宋体"/>
          <w:sz w:val="28"/>
          <w:szCs w:val="28"/>
        </w:rPr>
      </w:pPr>
      <w:r>
        <w:rPr>
          <w:rFonts w:hint="eastAsia" w:ascii="宋体" w:hAnsi="宋体" w:eastAsia="宋体"/>
          <w:sz w:val="28"/>
          <w:szCs w:val="28"/>
        </w:rPr>
        <w:t>成片开发区域范围不涉及永久基本农田、生态保护红线和自</w:t>
      </w:r>
      <w:r>
        <w:rPr>
          <w:rFonts w:ascii="宋体" w:hAnsi="宋体" w:eastAsia="宋体"/>
          <w:sz w:val="28"/>
          <w:szCs w:val="28"/>
        </w:rPr>
        <w:t>然保护区，未涉及禁止建设区域。</w:t>
      </w:r>
    </w:p>
    <w:p>
      <w:pPr>
        <w:pStyle w:val="9"/>
        <w:numPr>
          <w:ilvl w:val="0"/>
          <w:numId w:val="1"/>
        </w:numPr>
        <w:ind w:firstLineChars="0"/>
        <w:rPr>
          <w:rFonts w:ascii="宋体" w:hAnsi="宋体" w:eastAsia="宋体"/>
          <w:b/>
          <w:bCs/>
          <w:sz w:val="28"/>
          <w:szCs w:val="28"/>
        </w:rPr>
      </w:pPr>
      <w:r>
        <w:rPr>
          <w:rFonts w:hint="eastAsia" w:ascii="宋体" w:hAnsi="宋体" w:eastAsia="宋体"/>
          <w:b/>
          <w:bCs/>
          <w:sz w:val="28"/>
          <w:szCs w:val="28"/>
        </w:rPr>
        <w:t>结论</w:t>
      </w:r>
    </w:p>
    <w:p>
      <w:pPr>
        <w:pStyle w:val="9"/>
        <w:ind w:firstLine="560"/>
        <w:rPr>
          <w:rFonts w:ascii="宋体" w:hAnsi="宋体" w:eastAsia="宋体"/>
          <w:sz w:val="28"/>
          <w:szCs w:val="28"/>
        </w:rPr>
      </w:pPr>
      <w:r>
        <w:rPr>
          <w:rFonts w:hint="eastAsia" w:ascii="宋体" w:hAnsi="宋体" w:eastAsia="宋体"/>
          <w:sz w:val="28"/>
          <w:szCs w:val="28"/>
        </w:rPr>
        <w:t>《</w:t>
      </w:r>
      <w:r>
        <w:rPr>
          <w:rFonts w:hint="eastAsia" w:ascii="宋体" w:hAnsi="宋体" w:eastAsia="宋体"/>
          <w:sz w:val="28"/>
          <w:szCs w:val="28"/>
          <w:lang w:eastAsia="zh-CN"/>
        </w:rPr>
        <w:t>仙游县郊尾普通住宅一号</w:t>
      </w:r>
      <w:r>
        <w:rPr>
          <w:rFonts w:hint="eastAsia" w:ascii="宋体" w:hAnsi="宋体" w:eastAsia="宋体"/>
          <w:sz w:val="28"/>
          <w:szCs w:val="28"/>
        </w:rPr>
        <w:t>片区土地征收成片开发方案》符合自然资源部土地征收成片开发的标准。</w:t>
      </w:r>
    </w:p>
    <w:p>
      <w:pPr>
        <w:rPr>
          <w:rFonts w:hint="eastAsia"/>
        </w:rPr>
      </w:pPr>
      <w:r>
        <w:rPr>
          <w:rFonts w:hint="eastAsia" w:ascii="宋体" w:hAnsi="宋体" w:eastAsia="宋体"/>
          <w:sz w:val="28"/>
          <w:szCs w:val="28"/>
        </w:rPr>
        <w:br w:type="page"/>
      </w:r>
    </w:p>
    <w:p>
      <w:pPr>
        <w:rPr>
          <w:rFonts w:hint="eastAsia"/>
          <w:b/>
          <w:bCs/>
          <w:sz w:val="36"/>
          <w:szCs w:val="44"/>
          <w:lang w:val="en-US" w:eastAsia="zh-CN"/>
        </w:rPr>
        <w:sectPr>
          <w:pgSz w:w="11906" w:h="16838"/>
          <w:pgMar w:top="1440" w:right="1800" w:bottom="1440" w:left="1800" w:header="851" w:footer="992" w:gutter="0"/>
          <w:cols w:space="425" w:num="1"/>
          <w:docGrid w:type="lines" w:linePitch="312" w:charSpace="0"/>
        </w:sectPr>
      </w:pPr>
    </w:p>
    <w:p>
      <w:pPr>
        <w:rPr>
          <w:rFonts w:hint="eastAsia"/>
          <w:b/>
          <w:bCs/>
          <w:sz w:val="36"/>
          <w:szCs w:val="44"/>
          <w:lang w:val="en-US" w:eastAsia="zh-CN"/>
        </w:rPr>
      </w:pPr>
      <w:r>
        <w:rPr>
          <w:rFonts w:hint="eastAsia"/>
          <w:b/>
          <w:bCs/>
          <w:sz w:val="28"/>
          <w:szCs w:val="36"/>
          <w:lang w:val="en-US" w:eastAsia="zh-Hans"/>
        </w:rPr>
        <w:drawing>
          <wp:anchor distT="0" distB="0" distL="114300" distR="114300" simplePos="0" relativeHeight="251659264" behindDoc="0" locked="0" layoutInCell="1" allowOverlap="1">
            <wp:simplePos x="0" y="0"/>
            <wp:positionH relativeFrom="column">
              <wp:posOffset>187325</wp:posOffset>
            </wp:positionH>
            <wp:positionV relativeFrom="paragraph">
              <wp:posOffset>-300990</wp:posOffset>
            </wp:positionV>
            <wp:extent cx="8458835" cy="5981065"/>
            <wp:effectExtent l="0" t="0" r="18415" b="635"/>
            <wp:wrapNone/>
            <wp:docPr id="5" name="图片 5" descr="F:\佳昌数据\仙游县成片开发方案（郊尾片区）\郊尾2022年第二批次组卷0530\修改材料\位置示意图.jpg位置示意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F:\佳昌数据\仙游县成片开发方案（郊尾片区）\郊尾2022年第二批次组卷0530\修改材料\位置示意图.jpg位置示意图"/>
                    <pic:cNvPicPr>
                      <a:picLocks noChangeAspect="1"/>
                    </pic:cNvPicPr>
                  </pic:nvPicPr>
                  <pic:blipFill>
                    <a:blip r:embed="rId4"/>
                    <a:srcRect/>
                    <a:stretch>
                      <a:fillRect/>
                    </a:stretch>
                  </pic:blipFill>
                  <pic:spPr>
                    <a:xfrm>
                      <a:off x="0" y="0"/>
                      <a:ext cx="8458835" cy="5981065"/>
                    </a:xfrm>
                    <a:prstGeom prst="rect">
                      <a:avLst/>
                    </a:prstGeom>
                  </pic:spPr>
                </pic:pic>
              </a:graphicData>
            </a:graphic>
          </wp:anchor>
        </w:drawing>
      </w:r>
    </w:p>
    <w:p>
      <w:pPr>
        <w:pStyle w:val="2"/>
        <w:rPr>
          <w:rFonts w:hint="default"/>
          <w:lang w:val="en-US" w:eastAsia="zh-CN"/>
        </w:rPr>
      </w:pPr>
    </w:p>
    <w:p>
      <w:pPr>
        <w:keepNext w:val="0"/>
        <w:keepLines w:val="0"/>
        <w:pageBreakBefore w:val="0"/>
        <w:widowControl w:val="0"/>
        <w:kinsoku/>
        <w:wordWrap/>
        <w:overflowPunct/>
        <w:topLinePunct w:val="0"/>
        <w:autoSpaceDE/>
        <w:autoSpaceDN/>
        <w:bidi w:val="0"/>
        <w:adjustRightInd/>
        <w:snapToGrid/>
        <w:jc w:val="both"/>
        <w:textAlignment w:val="auto"/>
        <w:rPr>
          <w:rFonts w:hint="eastAsia"/>
          <w:b/>
          <w:bCs/>
          <w:sz w:val="28"/>
          <w:szCs w:val="36"/>
          <w:lang w:val="en-US" w:eastAsia="zh-Hans"/>
        </w:rPr>
      </w:pPr>
    </w:p>
    <w:p/>
    <w:sectPr>
      <w:pgSz w:w="16838" w:h="11906" w:orient="landscape"/>
      <w:pgMar w:top="1800" w:right="1440" w:bottom="1800" w:left="144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imes New Roman Regular">
    <w:altName w:val="Times New Roman"/>
    <w:panose1 w:val="02020503050405090304"/>
    <w:charset w:val="00"/>
    <w:family w:val="auto"/>
    <w:pitch w:val="default"/>
    <w:sig w:usb0="00000000" w:usb1="00000000" w:usb2="00000001" w:usb3="00000000" w:csb0="400001BF" w:csb1="DFF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996421F"/>
    <w:multiLevelType w:val="multilevel"/>
    <w:tmpl w:val="4996421F"/>
    <w:lvl w:ilvl="0" w:tentative="0">
      <w:start w:val="1"/>
      <w:numFmt w:val="japaneseCounting"/>
      <w:lvlText w:val="%1、"/>
      <w:lvlJc w:val="left"/>
      <w:pPr>
        <w:ind w:left="420" w:hanging="420"/>
      </w:pPr>
      <w:rPr>
        <w:rFonts w:hint="default"/>
        <w:lang w:val="en-U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IwOWFhY2NiZDk0ZWZhZWZkNzJlOGIwMjY4MTcyMjMifQ=="/>
  </w:docVars>
  <w:rsids>
    <w:rsidRoot w:val="FFF79975"/>
    <w:rsid w:val="00305EE2"/>
    <w:rsid w:val="00A111DB"/>
    <w:rsid w:val="01003416"/>
    <w:rsid w:val="0799098D"/>
    <w:rsid w:val="0B776C07"/>
    <w:rsid w:val="18196216"/>
    <w:rsid w:val="183A27BF"/>
    <w:rsid w:val="18A60033"/>
    <w:rsid w:val="1AA71F02"/>
    <w:rsid w:val="1B1FD141"/>
    <w:rsid w:val="1EF8739A"/>
    <w:rsid w:val="27AB6B40"/>
    <w:rsid w:val="2BEC521A"/>
    <w:rsid w:val="318E3A80"/>
    <w:rsid w:val="36F928BD"/>
    <w:rsid w:val="3C5D0EE1"/>
    <w:rsid w:val="3CEF3A90"/>
    <w:rsid w:val="3DAA6DB5"/>
    <w:rsid w:val="3DB07049"/>
    <w:rsid w:val="3FE658AF"/>
    <w:rsid w:val="4016478C"/>
    <w:rsid w:val="41140DB3"/>
    <w:rsid w:val="41EE78E0"/>
    <w:rsid w:val="42456003"/>
    <w:rsid w:val="49727865"/>
    <w:rsid w:val="4B3B4E4E"/>
    <w:rsid w:val="4B85431C"/>
    <w:rsid w:val="4C0D7FB6"/>
    <w:rsid w:val="4E4F4FE6"/>
    <w:rsid w:val="525C7843"/>
    <w:rsid w:val="57953B57"/>
    <w:rsid w:val="5C9A43FE"/>
    <w:rsid w:val="5D9155A7"/>
    <w:rsid w:val="61017551"/>
    <w:rsid w:val="737A5923"/>
    <w:rsid w:val="759D0D24"/>
    <w:rsid w:val="762050E3"/>
    <w:rsid w:val="77FF0221"/>
    <w:rsid w:val="7D1A5678"/>
    <w:rsid w:val="7F7FE473"/>
    <w:rsid w:val="7FEC2644"/>
    <w:rsid w:val="F6B1E4F1"/>
    <w:rsid w:val="FFF799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2"/>
    <w:basedOn w:val="1"/>
    <w:next w:val="1"/>
    <w:semiHidden/>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ind w:firstLine="1012" w:firstLineChars="200"/>
    </w:pPr>
  </w:style>
  <w:style w:type="paragraph" w:styleId="3">
    <w:name w:val="Body Text Indent"/>
    <w:basedOn w:val="1"/>
    <w:qFormat/>
    <w:uiPriority w:val="0"/>
    <w:pPr>
      <w:spacing w:after="120" w:afterLines="0"/>
      <w:ind w:left="420" w:leftChars="200"/>
    </w:pPr>
  </w:style>
  <w:style w:type="paragraph" w:styleId="5">
    <w:name w:val="Body Text"/>
    <w:basedOn w:val="1"/>
    <w:qFormat/>
    <w:uiPriority w:val="1"/>
    <w:pPr>
      <w:ind w:left="1120"/>
      <w:jc w:val="both"/>
    </w:pPr>
    <w:rPr>
      <w:rFonts w:ascii="宋体" w:hAnsi="宋体" w:eastAsia="宋体" w:cs="宋体"/>
      <w:sz w:val="32"/>
      <w:szCs w:val="32"/>
      <w:lang w:val="zh-CN" w:eastAsia="zh-CN" w:bidi="zh-CN"/>
    </w:rPr>
  </w:style>
  <w:style w:type="paragraph" w:customStyle="1" w:styleId="8">
    <w:name w:val="List Paragraph"/>
    <w:basedOn w:val="1"/>
    <w:qFormat/>
    <w:uiPriority w:val="34"/>
    <w:pPr>
      <w:ind w:firstLine="420" w:firstLineChars="200"/>
    </w:pPr>
  </w:style>
  <w:style w:type="paragraph" w:customStyle="1" w:styleId="9">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2747</Words>
  <Characters>2921</Characters>
  <Lines>0</Lines>
  <Paragraphs>0</Paragraphs>
  <TotalTime>23</TotalTime>
  <ScaleCrop>false</ScaleCrop>
  <LinksUpToDate>false</LinksUpToDate>
  <CharactersWithSpaces>2923</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2021-02-27T04:38:00Z</dcterms:created>
  <dc:creator>sdream</dc:creator>
  <cp:lastModifiedBy>林晨</cp:lastModifiedBy>
  <dcterms:modified xsi:type="dcterms:W3CDTF">2022-06-01T00:59:28Z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1536056D965B424DA58B93BEF70E0E1E</vt:lpwstr>
  </property>
</Properties>
</file>