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Calibri" w:hAnsi="Calibri" w:cs="Times New Roman"/>
          <w:sz w:val="36"/>
          <w:szCs w:val="44"/>
        </w:rPr>
      </w:pPr>
      <w:bookmarkStart w:id="0" w:name="_Toc67952574"/>
      <w:r>
        <w:rPr>
          <w:rFonts w:hint="eastAsia" w:ascii="Calibri" w:hAnsi="Calibri" w:cs="Times New Roman"/>
          <w:sz w:val="36"/>
          <w:szCs w:val="44"/>
        </w:rPr>
        <w:t xml:space="preserve"> </w:t>
      </w:r>
    </w:p>
    <w:p>
      <w:pPr>
        <w:spacing w:line="240" w:lineRule="auto"/>
        <w:ind w:firstLine="0" w:firstLineChars="0"/>
        <w:rPr>
          <w:rFonts w:ascii="Calibri" w:hAnsi="Calibri" w:cs="Times New Roman"/>
          <w:sz w:val="36"/>
          <w:szCs w:val="44"/>
        </w:rPr>
      </w:pPr>
    </w:p>
    <w:p>
      <w:pPr>
        <w:spacing w:line="240" w:lineRule="auto"/>
        <w:ind w:firstLine="0" w:firstLineChars="0"/>
        <w:jc w:val="center"/>
        <w:rPr>
          <w:rFonts w:ascii="Calibri" w:hAnsi="Calibri" w:cs="Times New Roman"/>
          <w:sz w:val="40"/>
          <w:szCs w:val="48"/>
        </w:rPr>
      </w:pPr>
    </w:p>
    <w:p>
      <w:pPr>
        <w:spacing w:line="240" w:lineRule="auto"/>
        <w:ind w:firstLine="0" w:firstLineChars="0"/>
        <w:jc w:val="center"/>
        <w:rPr>
          <w:rFonts w:ascii="Calibri" w:hAnsi="Calibri" w:cs="Times New Roman"/>
          <w:sz w:val="40"/>
          <w:szCs w:val="48"/>
        </w:rPr>
      </w:pPr>
    </w:p>
    <w:p>
      <w:pPr>
        <w:spacing w:line="720" w:lineRule="auto"/>
        <w:ind w:firstLine="0" w:firstLineChars="0"/>
        <w:jc w:val="center"/>
        <w:rPr>
          <w:rFonts w:ascii="Calibri" w:hAnsi="Calibri" w:cs="Times New Roman"/>
          <w:sz w:val="48"/>
          <w:szCs w:val="56"/>
        </w:rPr>
      </w:pPr>
      <w:r>
        <w:rPr>
          <w:rFonts w:hint="eastAsia" w:ascii="Calibri" w:hAnsi="Calibri" w:cs="Times New Roman"/>
          <w:sz w:val="48"/>
          <w:szCs w:val="56"/>
        </w:rPr>
        <w:t>莆田市仙游县202</w:t>
      </w:r>
      <w:r>
        <w:rPr>
          <w:rFonts w:ascii="Calibri" w:hAnsi="Calibri" w:cs="Times New Roman"/>
          <w:sz w:val="48"/>
          <w:szCs w:val="56"/>
        </w:rPr>
        <w:t>2</w:t>
      </w:r>
      <w:r>
        <w:rPr>
          <w:rFonts w:hint="eastAsia" w:ascii="Calibri" w:hAnsi="Calibri" w:cs="Times New Roman"/>
          <w:sz w:val="48"/>
          <w:szCs w:val="56"/>
        </w:rPr>
        <w:t>年度第五批次土地征收成片开发方案</w:t>
      </w:r>
    </w:p>
    <w:p>
      <w:pPr>
        <w:spacing w:line="720" w:lineRule="auto"/>
        <w:ind w:firstLine="0" w:firstLineChars="0"/>
        <w:jc w:val="center"/>
        <w:rPr>
          <w:rFonts w:ascii="Calibri" w:hAnsi="Calibri" w:cs="Times New Roman"/>
          <w:sz w:val="36"/>
          <w:szCs w:val="36"/>
        </w:rPr>
      </w:pPr>
      <w:r>
        <w:rPr>
          <w:rFonts w:hint="eastAsia" w:ascii="Calibri" w:hAnsi="Calibri" w:cs="Times New Roman"/>
          <w:sz w:val="36"/>
          <w:szCs w:val="36"/>
        </w:rPr>
        <w:t>枫亭镇慈岳片区二期</w:t>
      </w: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240" w:lineRule="auto"/>
        <w:ind w:firstLine="0" w:firstLineChars="0"/>
        <w:rPr>
          <w:rFonts w:ascii="Calibri" w:hAnsi="Calibri" w:cs="Times New Roman"/>
          <w:sz w:val="36"/>
          <w:szCs w:val="44"/>
        </w:rPr>
      </w:pPr>
    </w:p>
    <w:p>
      <w:pPr>
        <w:spacing w:line="720" w:lineRule="auto"/>
        <w:ind w:firstLine="0" w:firstLineChars="0"/>
        <w:jc w:val="center"/>
        <w:rPr>
          <w:rFonts w:ascii="微软雅黑" w:hAnsi="微软雅黑" w:eastAsia="微软雅黑" w:cs="微软雅黑"/>
          <w:sz w:val="36"/>
          <w:szCs w:val="44"/>
        </w:rPr>
      </w:pPr>
      <w:r>
        <w:rPr>
          <w:rFonts w:hint="eastAsia" w:ascii="微软雅黑" w:hAnsi="微软雅黑" w:eastAsia="微软雅黑" w:cs="微软雅黑"/>
          <w:sz w:val="36"/>
          <w:szCs w:val="44"/>
        </w:rPr>
        <w:t>仙游县人民政府</w:t>
      </w:r>
    </w:p>
    <w:p>
      <w:pPr>
        <w:spacing w:line="720" w:lineRule="auto"/>
        <w:ind w:firstLine="0" w:firstLineChars="0"/>
        <w:jc w:val="center"/>
        <w:rPr>
          <w:rFonts w:ascii="微软雅黑" w:hAnsi="微软雅黑" w:eastAsia="微软雅黑" w:cs="微软雅黑"/>
          <w:sz w:val="36"/>
          <w:szCs w:val="44"/>
        </w:rPr>
      </w:pPr>
      <w:r>
        <w:rPr>
          <w:rFonts w:hint="eastAsia" w:ascii="微软雅黑" w:hAnsi="微软雅黑" w:eastAsia="微软雅黑" w:cs="微软雅黑"/>
          <w:sz w:val="36"/>
          <w:szCs w:val="44"/>
        </w:rPr>
        <w:t>二〇二二年三月</w:t>
      </w:r>
    </w:p>
    <w:p>
      <w:pPr>
        <w:spacing w:line="720" w:lineRule="auto"/>
        <w:ind w:firstLine="0" w:firstLineChars="0"/>
        <w:jc w:val="center"/>
        <w:rPr>
          <w:rFonts w:ascii="Calibri" w:hAnsi="Calibri" w:cs="Times New Roman"/>
          <w:sz w:val="36"/>
          <w:szCs w:val="44"/>
        </w:rPr>
      </w:pPr>
    </w:p>
    <w:sdt>
      <w:sdtPr>
        <w:rPr>
          <w:rFonts w:eastAsia="宋体" w:asciiTheme="minorHAnsi" w:hAnsiTheme="minorHAnsi" w:cstheme="minorBidi"/>
          <w:color w:val="auto"/>
          <w:kern w:val="2"/>
          <w:sz w:val="24"/>
          <w:szCs w:val="22"/>
          <w:lang w:val="zh-CN"/>
        </w:rPr>
        <w:id w:val="1025911167"/>
        <w:docPartObj>
          <w:docPartGallery w:val="Table of Contents"/>
          <w:docPartUnique/>
        </w:docPartObj>
      </w:sdtPr>
      <w:sdtEndPr>
        <w:rPr>
          <w:rFonts w:ascii="宋体" w:hAnsi="宋体" w:eastAsia="宋体" w:cstheme="minorBidi"/>
          <w:b/>
          <w:bCs/>
          <w:color w:val="auto"/>
          <w:kern w:val="2"/>
          <w:sz w:val="24"/>
          <w:szCs w:val="24"/>
          <w:lang w:val="zh-CN"/>
        </w:rPr>
      </w:sdtEndPr>
      <w:sdtContent>
        <w:p>
          <w:pPr>
            <w:pStyle w:val="24"/>
            <w:tabs>
              <w:tab w:val="left" w:pos="3660"/>
            </w:tabs>
            <w:ind w:firstLine="480"/>
            <w:jc w:val="center"/>
            <w:rPr>
              <w:color w:val="auto"/>
            </w:rPr>
          </w:pPr>
          <w:r>
            <w:rPr>
              <w:rFonts w:ascii="黑体" w:hAnsi="黑体" w:eastAsia="黑体"/>
              <w:b/>
              <w:color w:val="auto"/>
              <w:lang w:val="zh-CN"/>
            </w:rPr>
            <w:t>目录</w:t>
          </w:r>
        </w:p>
        <w:p>
          <w:pPr>
            <w:pStyle w:val="11"/>
            <w:tabs>
              <w:tab w:val="right" w:leader="dot" w:pos="8306"/>
              <w:tab w:val="clear" w:pos="8296"/>
            </w:tabs>
          </w:pPr>
          <w:r>
            <w:rPr>
              <w:b w:val="0"/>
              <w:bCs w:val="0"/>
              <w:szCs w:val="24"/>
            </w:rPr>
            <w:fldChar w:fldCharType="begin"/>
          </w:r>
          <w:r>
            <w:rPr>
              <w:b w:val="0"/>
              <w:bCs w:val="0"/>
              <w:szCs w:val="24"/>
            </w:rPr>
            <w:instrText xml:space="preserve"> TOC \o "1-2" \h \z \u </w:instrText>
          </w:r>
          <w:r>
            <w:rPr>
              <w:b w:val="0"/>
              <w:bCs w:val="0"/>
              <w:szCs w:val="24"/>
            </w:rPr>
            <w:fldChar w:fldCharType="separate"/>
          </w:r>
          <w:r>
            <w:fldChar w:fldCharType="begin"/>
          </w:r>
          <w:r>
            <w:instrText xml:space="preserve"> HYPERLINK \l "_Toc17717" </w:instrText>
          </w:r>
          <w:r>
            <w:fldChar w:fldCharType="separate"/>
          </w:r>
          <w:r>
            <w:rPr>
              <w:rFonts w:ascii="Times New Roman" w:hAnsi="Times New Roman"/>
            </w:rPr>
            <w:t>一、概述</w:t>
          </w:r>
          <w:r>
            <w:tab/>
          </w:r>
          <w:r>
            <w:fldChar w:fldCharType="end"/>
          </w:r>
        </w:p>
        <w:p>
          <w:pPr>
            <w:pStyle w:val="12"/>
            <w:tabs>
              <w:tab w:val="right" w:leader="dot" w:pos="8306"/>
            </w:tabs>
          </w:pPr>
          <w:r>
            <w:fldChar w:fldCharType="begin"/>
          </w:r>
          <w:r>
            <w:instrText xml:space="preserve"> HYPERLINK \l "_Toc20078" </w:instrText>
          </w:r>
          <w:r>
            <w:fldChar w:fldCharType="separate"/>
          </w:r>
          <w:r>
            <w:rPr>
              <w:rFonts w:ascii="Times New Roman" w:hAnsi="Times New Roman"/>
            </w:rPr>
            <w:t>（一）背景</w:t>
          </w:r>
          <w:r>
            <w:tab/>
          </w:r>
          <w:r>
            <w:fldChar w:fldCharType="end"/>
          </w:r>
        </w:p>
        <w:p>
          <w:pPr>
            <w:pStyle w:val="12"/>
            <w:tabs>
              <w:tab w:val="right" w:leader="dot" w:pos="8306"/>
            </w:tabs>
          </w:pPr>
          <w:r>
            <w:fldChar w:fldCharType="begin"/>
          </w:r>
          <w:r>
            <w:instrText xml:space="preserve"> HYPERLINK \l "_Toc21095" </w:instrText>
          </w:r>
          <w:r>
            <w:fldChar w:fldCharType="separate"/>
          </w:r>
          <w:r>
            <w:rPr>
              <w:rFonts w:ascii="Times New Roman" w:hAnsi="Times New Roman"/>
            </w:rPr>
            <w:t>（二）编制原则</w:t>
          </w:r>
          <w:r>
            <w:tab/>
          </w:r>
          <w:r>
            <w:fldChar w:fldCharType="end"/>
          </w:r>
        </w:p>
        <w:p>
          <w:pPr>
            <w:pStyle w:val="12"/>
            <w:tabs>
              <w:tab w:val="right" w:leader="dot" w:pos="8306"/>
            </w:tabs>
          </w:pPr>
          <w:r>
            <w:fldChar w:fldCharType="begin"/>
          </w:r>
          <w:r>
            <w:instrText xml:space="preserve"> HYPERLINK \l "_Toc11901" </w:instrText>
          </w:r>
          <w:r>
            <w:fldChar w:fldCharType="separate"/>
          </w:r>
          <w:r>
            <w:rPr>
              <w:rFonts w:ascii="Times New Roman" w:hAnsi="Times New Roman"/>
            </w:rPr>
            <w:t>（三）编制依据</w:t>
          </w:r>
          <w:r>
            <w:tab/>
          </w:r>
          <w:r>
            <w:fldChar w:fldCharType="end"/>
          </w:r>
        </w:p>
        <w:p>
          <w:pPr>
            <w:pStyle w:val="11"/>
            <w:tabs>
              <w:tab w:val="right" w:leader="dot" w:pos="8306"/>
              <w:tab w:val="clear" w:pos="8296"/>
            </w:tabs>
          </w:pPr>
          <w:r>
            <w:fldChar w:fldCharType="begin"/>
          </w:r>
          <w:r>
            <w:instrText xml:space="preserve"> HYPERLINK \l "_Toc19816" </w:instrText>
          </w:r>
          <w:r>
            <w:fldChar w:fldCharType="separate"/>
          </w:r>
          <w:r>
            <w:rPr>
              <w:rFonts w:hint="eastAsia"/>
            </w:rPr>
            <w:t>二、编制情况</w:t>
          </w:r>
          <w:r>
            <w:tab/>
          </w:r>
          <w:r>
            <w:fldChar w:fldCharType="end"/>
          </w:r>
        </w:p>
        <w:p>
          <w:pPr>
            <w:pStyle w:val="12"/>
            <w:tabs>
              <w:tab w:val="right" w:leader="dot" w:pos="8306"/>
            </w:tabs>
          </w:pPr>
          <w:r>
            <w:fldChar w:fldCharType="begin"/>
          </w:r>
          <w:r>
            <w:instrText xml:space="preserve"> HYPERLINK \l "_Toc21904" </w:instrText>
          </w:r>
          <w:r>
            <w:fldChar w:fldCharType="separate"/>
          </w:r>
          <w:r>
            <w:rPr>
              <w:rFonts w:hint="eastAsia"/>
            </w:rPr>
            <w:t>（一）批而未供土地和闲置土地情况</w:t>
          </w:r>
          <w:r>
            <w:tab/>
          </w:r>
          <w:r>
            <w:fldChar w:fldCharType="end"/>
          </w:r>
        </w:p>
        <w:p>
          <w:pPr>
            <w:pStyle w:val="12"/>
            <w:tabs>
              <w:tab w:val="right" w:leader="dot" w:pos="8306"/>
            </w:tabs>
          </w:pPr>
          <w:r>
            <w:fldChar w:fldCharType="begin"/>
          </w:r>
          <w:r>
            <w:instrText xml:space="preserve"> HYPERLINK \l "_Toc21262" </w:instrText>
          </w:r>
          <w:r>
            <w:fldChar w:fldCharType="separate"/>
          </w:r>
          <w:r>
            <w:rPr>
              <w:rFonts w:hint="eastAsia"/>
            </w:rPr>
            <w:t>（二）开发区</w:t>
          </w:r>
          <w:r>
            <w:t>土地利用效率情况</w:t>
          </w:r>
          <w:r>
            <w:tab/>
          </w:r>
          <w:r>
            <w:fldChar w:fldCharType="end"/>
          </w:r>
        </w:p>
        <w:p>
          <w:pPr>
            <w:pStyle w:val="12"/>
            <w:tabs>
              <w:tab w:val="right" w:leader="dot" w:pos="8306"/>
            </w:tabs>
          </w:pPr>
          <w:r>
            <w:fldChar w:fldCharType="begin"/>
          </w:r>
          <w:r>
            <w:instrText xml:space="preserve"> HYPERLINK \l "_Toc2727" </w:instrText>
          </w:r>
          <w:r>
            <w:fldChar w:fldCharType="separate"/>
          </w:r>
          <w:r>
            <w:rPr>
              <w:rFonts w:hint="eastAsia"/>
            </w:rPr>
            <w:t>（三）已批准土地征收成片开发方案实施情况</w:t>
          </w:r>
          <w:r>
            <w:tab/>
          </w:r>
          <w:r>
            <w:fldChar w:fldCharType="end"/>
          </w:r>
        </w:p>
        <w:p>
          <w:pPr>
            <w:pStyle w:val="11"/>
            <w:tabs>
              <w:tab w:val="right" w:leader="dot" w:pos="8306"/>
              <w:tab w:val="clear" w:pos="8296"/>
            </w:tabs>
          </w:pPr>
          <w:r>
            <w:fldChar w:fldCharType="begin"/>
          </w:r>
          <w:r>
            <w:instrText xml:space="preserve"> HYPERLINK \l "_Toc15821" </w:instrText>
          </w:r>
          <w:r>
            <w:fldChar w:fldCharType="separate"/>
          </w:r>
          <w:r>
            <w:t>三、基本情况</w:t>
          </w:r>
          <w:r>
            <w:tab/>
          </w:r>
          <w:r>
            <w:fldChar w:fldCharType="end"/>
          </w:r>
        </w:p>
        <w:p>
          <w:pPr>
            <w:pStyle w:val="12"/>
            <w:tabs>
              <w:tab w:val="right" w:leader="dot" w:pos="8306"/>
            </w:tabs>
          </w:pPr>
          <w:r>
            <w:fldChar w:fldCharType="begin"/>
          </w:r>
          <w:r>
            <w:instrText xml:space="preserve"> HYPERLINK \l "_Toc6135" </w:instrText>
          </w:r>
          <w:r>
            <w:fldChar w:fldCharType="separate"/>
          </w:r>
          <w:r>
            <w:t>（一）</w:t>
          </w:r>
          <w:r>
            <w:rPr>
              <w:rFonts w:hint="eastAsia"/>
            </w:rPr>
            <w:t>成片开发</w:t>
          </w:r>
          <w:r>
            <w:t>位置、</w:t>
          </w:r>
          <w:r>
            <w:rPr>
              <w:rFonts w:hint="eastAsia"/>
            </w:rPr>
            <w:t>范围</w:t>
          </w:r>
          <w:r>
            <w:t>、</w:t>
          </w:r>
          <w:r>
            <w:rPr>
              <w:rFonts w:hint="eastAsia"/>
            </w:rPr>
            <w:t>面积</w:t>
          </w:r>
          <w:r>
            <w:tab/>
          </w:r>
          <w:r>
            <w:fldChar w:fldCharType="end"/>
          </w:r>
        </w:p>
        <w:p>
          <w:pPr>
            <w:pStyle w:val="12"/>
            <w:tabs>
              <w:tab w:val="right" w:leader="dot" w:pos="8306"/>
            </w:tabs>
          </w:pPr>
          <w:r>
            <w:fldChar w:fldCharType="begin"/>
          </w:r>
          <w:r>
            <w:instrText xml:space="preserve"> HYPERLINK \l "_Toc27225" </w:instrText>
          </w:r>
          <w:r>
            <w:fldChar w:fldCharType="separate"/>
          </w:r>
          <w:r>
            <w:rPr>
              <w:rFonts w:hint="eastAsia"/>
            </w:rPr>
            <w:t>（二）现状基础设施条件</w:t>
          </w:r>
          <w:r>
            <w:tab/>
          </w:r>
          <w:r>
            <w:fldChar w:fldCharType="end"/>
          </w:r>
        </w:p>
        <w:p>
          <w:pPr>
            <w:pStyle w:val="12"/>
            <w:tabs>
              <w:tab w:val="right" w:leader="dot" w:pos="8306"/>
            </w:tabs>
          </w:pPr>
          <w:r>
            <w:fldChar w:fldCharType="begin"/>
          </w:r>
          <w:r>
            <w:instrText xml:space="preserve"> HYPERLINK \l "_Toc23942" </w:instrText>
          </w:r>
          <w:r>
            <w:fldChar w:fldCharType="separate"/>
          </w:r>
          <w:r>
            <w:t>（</w:t>
          </w:r>
          <w:r>
            <w:rPr>
              <w:rFonts w:hint="eastAsia"/>
            </w:rPr>
            <w:t>三</w:t>
          </w:r>
          <w:r>
            <w:t>）实施周期</w:t>
          </w:r>
          <w:r>
            <w:tab/>
          </w:r>
          <w:r>
            <w:fldChar w:fldCharType="end"/>
          </w:r>
        </w:p>
        <w:p>
          <w:pPr>
            <w:pStyle w:val="11"/>
            <w:tabs>
              <w:tab w:val="right" w:leader="dot" w:pos="8306"/>
              <w:tab w:val="clear" w:pos="8296"/>
            </w:tabs>
          </w:pPr>
          <w:r>
            <w:fldChar w:fldCharType="begin"/>
          </w:r>
          <w:r>
            <w:instrText xml:space="preserve"> HYPERLINK \l "_Toc24114" </w:instrText>
          </w:r>
          <w:r>
            <w:fldChar w:fldCharType="separate"/>
          </w:r>
          <w:r>
            <w:rPr>
              <w:rFonts w:hint="eastAsia" w:ascii="Times New Roman" w:hAnsi="Times New Roman"/>
            </w:rPr>
            <w:t>四、必要性分析</w:t>
          </w:r>
          <w:r>
            <w:tab/>
          </w:r>
          <w:r>
            <w:fldChar w:fldCharType="end"/>
          </w:r>
        </w:p>
        <w:p>
          <w:pPr>
            <w:pStyle w:val="12"/>
            <w:tabs>
              <w:tab w:val="right" w:leader="dot" w:pos="8306"/>
            </w:tabs>
          </w:pPr>
          <w:r>
            <w:fldChar w:fldCharType="begin"/>
          </w:r>
          <w:r>
            <w:instrText xml:space="preserve"> HYPERLINK \l "_Toc16903" </w:instrText>
          </w:r>
          <w:r>
            <w:fldChar w:fldCharType="separate"/>
          </w:r>
          <w:r>
            <w:rPr>
              <w:rFonts w:hint="eastAsia"/>
            </w:rPr>
            <w:t>（一）必要性分析</w:t>
          </w:r>
          <w:r>
            <w:tab/>
          </w:r>
          <w:r>
            <w:fldChar w:fldCharType="end"/>
          </w:r>
        </w:p>
        <w:p>
          <w:pPr>
            <w:pStyle w:val="12"/>
            <w:tabs>
              <w:tab w:val="right" w:leader="dot" w:pos="8306"/>
            </w:tabs>
          </w:pPr>
          <w:r>
            <w:fldChar w:fldCharType="begin"/>
          </w:r>
          <w:r>
            <w:instrText xml:space="preserve"> HYPERLINK \l "_Toc18349" </w:instrText>
          </w:r>
          <w:r>
            <w:fldChar w:fldCharType="separate"/>
          </w:r>
          <w:r>
            <w:rPr>
              <w:rFonts w:hint="eastAsia"/>
            </w:rPr>
            <w:t>（二）科学合理性分析</w:t>
          </w:r>
          <w:r>
            <w:tab/>
          </w:r>
          <w:r>
            <w:t>5</w:t>
          </w:r>
          <w:r>
            <w:fldChar w:fldCharType="end"/>
          </w:r>
        </w:p>
        <w:p>
          <w:pPr>
            <w:pStyle w:val="11"/>
            <w:tabs>
              <w:tab w:val="right" w:leader="dot" w:pos="8306"/>
              <w:tab w:val="clear" w:pos="8296"/>
            </w:tabs>
          </w:pPr>
          <w:r>
            <w:fldChar w:fldCharType="begin"/>
          </w:r>
          <w:r>
            <w:instrText xml:space="preserve"> HYPERLINK \l "_Toc19261" </w:instrText>
          </w:r>
          <w:r>
            <w:fldChar w:fldCharType="separate"/>
          </w:r>
          <w:r>
            <w:rPr>
              <w:rFonts w:hint="eastAsia"/>
            </w:rPr>
            <w:t>五、主要用途、实现功能及公益性用地比例</w:t>
          </w:r>
          <w:r>
            <w:tab/>
          </w:r>
          <w:r>
            <w:fldChar w:fldCharType="end"/>
          </w:r>
        </w:p>
        <w:p>
          <w:pPr>
            <w:pStyle w:val="12"/>
            <w:tabs>
              <w:tab w:val="right" w:leader="dot" w:pos="8306"/>
            </w:tabs>
          </w:pPr>
          <w:r>
            <w:fldChar w:fldCharType="begin"/>
          </w:r>
          <w:r>
            <w:instrText xml:space="preserve"> HYPERLINK \l "_Toc12956" </w:instrText>
          </w:r>
          <w:r>
            <w:fldChar w:fldCharType="separate"/>
          </w:r>
          <w:r>
            <w:rPr>
              <w:rFonts w:hint="eastAsia"/>
            </w:rPr>
            <w:t>（一）主要用途、实现功能</w:t>
          </w:r>
          <w:r>
            <w:tab/>
          </w:r>
          <w:r>
            <w:fldChar w:fldCharType="end"/>
          </w:r>
        </w:p>
        <w:p>
          <w:pPr>
            <w:pStyle w:val="12"/>
            <w:tabs>
              <w:tab w:val="right" w:leader="dot" w:pos="8306"/>
            </w:tabs>
          </w:pPr>
          <w:r>
            <w:fldChar w:fldCharType="begin"/>
          </w:r>
          <w:r>
            <w:instrText xml:space="preserve"> HYPERLINK \l "_Toc28679" </w:instrText>
          </w:r>
          <w:r>
            <w:fldChar w:fldCharType="separate"/>
          </w:r>
          <w:r>
            <w:rPr>
              <w:rFonts w:hint="eastAsia"/>
            </w:rPr>
            <w:t>（二）公益性用地比例</w:t>
          </w:r>
          <w:r>
            <w:tab/>
          </w:r>
          <w:r>
            <w:t>6</w:t>
          </w:r>
          <w:r>
            <w:fldChar w:fldCharType="end"/>
          </w:r>
        </w:p>
        <w:p>
          <w:pPr>
            <w:pStyle w:val="11"/>
            <w:tabs>
              <w:tab w:val="right" w:leader="dot" w:pos="8306"/>
              <w:tab w:val="clear" w:pos="8296"/>
            </w:tabs>
          </w:pPr>
          <w:r>
            <w:fldChar w:fldCharType="begin"/>
          </w:r>
          <w:r>
            <w:instrText xml:space="preserve"> HYPERLINK \l "_Toc28702" </w:instrText>
          </w:r>
          <w:r>
            <w:fldChar w:fldCharType="separate"/>
          </w:r>
          <w:r>
            <w:rPr>
              <w:rFonts w:ascii="Times New Roman" w:hAnsi="Times New Roman"/>
            </w:rPr>
            <w:t>六、</w:t>
          </w:r>
          <w:r>
            <w:rPr>
              <w:rFonts w:hint="eastAsia" w:ascii="Times New Roman" w:hAnsi="Times New Roman"/>
            </w:rPr>
            <w:t>拟建项目及</w:t>
          </w:r>
          <w:r>
            <w:rPr>
              <w:rFonts w:ascii="Times New Roman" w:hAnsi="Times New Roman"/>
            </w:rPr>
            <w:t>实施计划</w:t>
          </w:r>
          <w:r>
            <w:tab/>
          </w:r>
          <w:r>
            <w:fldChar w:fldCharType="end"/>
          </w:r>
        </w:p>
        <w:p>
          <w:pPr>
            <w:pStyle w:val="11"/>
            <w:tabs>
              <w:tab w:val="right" w:leader="dot" w:pos="8306"/>
              <w:tab w:val="clear" w:pos="8296"/>
            </w:tabs>
          </w:pPr>
          <w:r>
            <w:fldChar w:fldCharType="begin"/>
          </w:r>
          <w:r>
            <w:instrText xml:space="preserve"> HYPERLINK \l "_Toc19971" </w:instrText>
          </w:r>
          <w:r>
            <w:fldChar w:fldCharType="separate"/>
          </w:r>
          <w:r>
            <w:rPr>
              <w:rFonts w:hint="eastAsia"/>
            </w:rPr>
            <w:t>七、</w:t>
          </w:r>
          <w:r>
            <w:rPr>
              <w:rFonts w:hint="eastAsia" w:ascii="Times New Roman" w:hAnsi="Times New Roman"/>
            </w:rPr>
            <w:t>合规性分析</w:t>
          </w:r>
          <w:r>
            <w:tab/>
          </w:r>
          <w:r>
            <w:fldChar w:fldCharType="end"/>
          </w:r>
        </w:p>
        <w:p>
          <w:pPr>
            <w:pStyle w:val="12"/>
            <w:tabs>
              <w:tab w:val="right" w:leader="dot" w:pos="8306"/>
            </w:tabs>
          </w:pPr>
          <w:r>
            <w:fldChar w:fldCharType="begin"/>
          </w:r>
          <w:r>
            <w:instrText xml:space="preserve"> HYPERLINK \l "_Toc17484" </w:instrText>
          </w:r>
          <w:r>
            <w:fldChar w:fldCharType="separate"/>
          </w:r>
          <w:r>
            <w:rPr>
              <w:rFonts w:hint="eastAsia"/>
            </w:rPr>
            <w:t>（一）国土空间规划</w:t>
          </w:r>
          <w:r>
            <w:tab/>
          </w:r>
          <w:r>
            <w:fldChar w:fldCharType="end"/>
          </w:r>
        </w:p>
        <w:p>
          <w:pPr>
            <w:pStyle w:val="12"/>
            <w:tabs>
              <w:tab w:val="right" w:leader="dot" w:pos="8306"/>
            </w:tabs>
          </w:pPr>
          <w:r>
            <w:fldChar w:fldCharType="begin"/>
          </w:r>
          <w:r>
            <w:instrText xml:space="preserve"> HYPERLINK \l "_Toc29238" </w:instrText>
          </w:r>
          <w:r>
            <w:fldChar w:fldCharType="separate"/>
          </w:r>
          <w:r>
            <w:rPr>
              <w:rFonts w:hint="eastAsia"/>
            </w:rPr>
            <w:t>（二）国民经济和社会发展规划、年度计划</w:t>
          </w:r>
          <w:r>
            <w:tab/>
          </w:r>
          <w:r>
            <w:fldChar w:fldCharType="end"/>
          </w:r>
        </w:p>
        <w:p>
          <w:pPr>
            <w:pStyle w:val="12"/>
            <w:tabs>
              <w:tab w:val="right" w:leader="dot" w:pos="8306"/>
            </w:tabs>
          </w:pPr>
          <w:r>
            <w:fldChar w:fldCharType="begin"/>
          </w:r>
          <w:r>
            <w:instrText xml:space="preserve"> HYPERLINK \l "_Toc13333" </w:instrText>
          </w:r>
          <w:r>
            <w:fldChar w:fldCharType="separate"/>
          </w:r>
          <w:r>
            <w:rPr>
              <w:rFonts w:hint="eastAsia"/>
            </w:rPr>
            <w:t>（三）占用永久基本农田和其他法律法规规定不允许占用或开发的</w:t>
          </w:r>
          <w:r>
            <w:tab/>
          </w:r>
          <w:r>
            <w:fldChar w:fldCharType="end"/>
          </w:r>
        </w:p>
        <w:p>
          <w:pPr>
            <w:pStyle w:val="12"/>
            <w:tabs>
              <w:tab w:val="right" w:leader="dot" w:pos="8306"/>
            </w:tabs>
          </w:pPr>
          <w:r>
            <w:fldChar w:fldCharType="begin"/>
          </w:r>
          <w:r>
            <w:instrText xml:space="preserve"> HYPERLINK \l "_Toc20949" </w:instrText>
          </w:r>
          <w:r>
            <w:fldChar w:fldCharType="separate"/>
          </w:r>
          <w:r>
            <w:rPr>
              <w:rFonts w:hint="eastAsia"/>
            </w:rPr>
            <w:t>（四）生态保护红线、生态公益林符合情况</w:t>
          </w:r>
          <w:r>
            <w:tab/>
          </w:r>
          <w:r>
            <w:fldChar w:fldCharType="end"/>
          </w:r>
        </w:p>
        <w:p>
          <w:pPr>
            <w:pStyle w:val="12"/>
            <w:tabs>
              <w:tab w:val="right" w:leader="dot" w:pos="8306"/>
            </w:tabs>
          </w:pPr>
          <w:r>
            <w:fldChar w:fldCharType="begin"/>
          </w:r>
          <w:r>
            <w:instrText xml:space="preserve"> HYPERLINK \l "_Toc15341" </w:instrText>
          </w:r>
          <w:r>
            <w:fldChar w:fldCharType="separate"/>
          </w:r>
          <w:r>
            <w:rPr>
              <w:rFonts w:hint="eastAsia"/>
            </w:rPr>
            <w:t>（五）饮用水源保护区符合情况</w:t>
          </w:r>
          <w:r>
            <w:tab/>
          </w:r>
          <w:r>
            <w:fldChar w:fldCharType="end"/>
          </w:r>
        </w:p>
        <w:p>
          <w:pPr>
            <w:pStyle w:val="12"/>
            <w:tabs>
              <w:tab w:val="right" w:leader="dot" w:pos="8306"/>
            </w:tabs>
          </w:pPr>
          <w:r>
            <w:fldChar w:fldCharType="begin"/>
          </w:r>
          <w:r>
            <w:instrText xml:space="preserve"> HYPERLINK \l "_Toc11080" </w:instrText>
          </w:r>
          <w:r>
            <w:fldChar w:fldCharType="separate"/>
          </w:r>
          <w:r>
            <w:rPr>
              <w:rFonts w:hint="eastAsia"/>
            </w:rPr>
            <w:t>（六）</w:t>
          </w:r>
          <w:bookmarkStart w:id="1" w:name="_Hlk99553722"/>
          <w:r>
            <w:rPr>
              <w:rFonts w:hint="eastAsia"/>
            </w:rPr>
            <w:t>与历史文化名城名镇名村传统村落和历史建筑保护工作的衔接</w:t>
          </w:r>
          <w:bookmarkEnd w:id="1"/>
          <w:r>
            <w:tab/>
          </w:r>
          <w:r>
            <w:fldChar w:fldCharType="end"/>
          </w:r>
        </w:p>
        <w:p>
          <w:pPr>
            <w:pStyle w:val="11"/>
            <w:tabs>
              <w:tab w:val="right" w:leader="dot" w:pos="8306"/>
              <w:tab w:val="clear" w:pos="8296"/>
            </w:tabs>
          </w:pPr>
          <w:r>
            <w:fldChar w:fldCharType="begin"/>
          </w:r>
          <w:r>
            <w:instrText xml:space="preserve"> HYPERLINK \l "_Toc11587" </w:instrText>
          </w:r>
          <w:r>
            <w:fldChar w:fldCharType="separate"/>
          </w:r>
          <w:r>
            <w:rPr>
              <w:rFonts w:ascii="Times New Roman" w:hAnsi="Times New Roman"/>
            </w:rPr>
            <w:t>八、效益评估</w:t>
          </w:r>
          <w:r>
            <w:tab/>
          </w:r>
          <w:r>
            <w:fldChar w:fldCharType="end"/>
          </w:r>
        </w:p>
        <w:p>
          <w:pPr>
            <w:pStyle w:val="12"/>
            <w:tabs>
              <w:tab w:val="right" w:leader="dot" w:pos="8306"/>
            </w:tabs>
          </w:pPr>
          <w:r>
            <w:fldChar w:fldCharType="begin"/>
          </w:r>
          <w:r>
            <w:instrText xml:space="preserve"> HYPERLINK \l "_Toc27741" </w:instrText>
          </w:r>
          <w:r>
            <w:fldChar w:fldCharType="separate"/>
          </w:r>
          <w:r>
            <w:rPr>
              <w:rFonts w:hint="eastAsia"/>
            </w:rPr>
            <w:t>（一）土地利用效益</w:t>
          </w:r>
          <w:r>
            <w:tab/>
          </w:r>
          <w:r>
            <w:fldChar w:fldCharType="end"/>
          </w:r>
        </w:p>
        <w:p>
          <w:pPr>
            <w:pStyle w:val="12"/>
            <w:tabs>
              <w:tab w:val="right" w:leader="dot" w:pos="8306"/>
            </w:tabs>
          </w:pPr>
          <w:r>
            <w:fldChar w:fldCharType="begin"/>
          </w:r>
          <w:r>
            <w:instrText xml:space="preserve"> HYPERLINK \l "_Toc87" </w:instrText>
          </w:r>
          <w:r>
            <w:fldChar w:fldCharType="separate"/>
          </w:r>
          <w:r>
            <w:rPr>
              <w:rFonts w:hint="eastAsia"/>
            </w:rPr>
            <w:t>（二）经济效益土地</w:t>
          </w:r>
          <w:r>
            <w:tab/>
          </w:r>
          <w:r>
            <w:fldChar w:fldCharType="end"/>
          </w:r>
        </w:p>
        <w:p>
          <w:pPr>
            <w:pStyle w:val="12"/>
            <w:tabs>
              <w:tab w:val="right" w:leader="dot" w:pos="8306"/>
            </w:tabs>
          </w:pPr>
          <w:r>
            <w:fldChar w:fldCharType="begin"/>
          </w:r>
          <w:r>
            <w:instrText xml:space="preserve"> HYPERLINK \l "_Toc12098" </w:instrText>
          </w:r>
          <w:r>
            <w:fldChar w:fldCharType="separate"/>
          </w:r>
          <w:r>
            <w:rPr>
              <w:rFonts w:hint="eastAsia"/>
            </w:rPr>
            <w:t>（三）社会效益</w:t>
          </w:r>
          <w:r>
            <w:tab/>
          </w:r>
          <w:r>
            <w:fldChar w:fldCharType="end"/>
          </w:r>
        </w:p>
        <w:p>
          <w:pPr>
            <w:pStyle w:val="12"/>
            <w:tabs>
              <w:tab w:val="right" w:leader="dot" w:pos="8306"/>
            </w:tabs>
          </w:pPr>
          <w:r>
            <w:fldChar w:fldCharType="begin"/>
          </w:r>
          <w:r>
            <w:instrText xml:space="preserve"> HYPERLINK \l "_Toc1514" </w:instrText>
          </w:r>
          <w:r>
            <w:fldChar w:fldCharType="separate"/>
          </w:r>
          <w:r>
            <w:rPr>
              <w:rFonts w:hint="eastAsia"/>
            </w:rPr>
            <w:t>（四）生态效益</w:t>
          </w:r>
          <w:r>
            <w:tab/>
          </w:r>
          <w:r>
            <w:fldChar w:fldCharType="end"/>
          </w:r>
        </w:p>
        <w:p>
          <w:pPr>
            <w:pStyle w:val="11"/>
            <w:tabs>
              <w:tab w:val="right" w:leader="dot" w:pos="8306"/>
              <w:tab w:val="clear" w:pos="8296"/>
            </w:tabs>
          </w:pPr>
          <w:r>
            <w:fldChar w:fldCharType="begin"/>
          </w:r>
          <w:r>
            <w:instrText xml:space="preserve"> HYPERLINK \l "_Toc11243" </w:instrText>
          </w:r>
          <w:r>
            <w:fldChar w:fldCharType="separate"/>
          </w:r>
          <w:r>
            <w:t>九、征求意见情况</w:t>
          </w:r>
          <w:r>
            <w:tab/>
          </w:r>
          <w:r>
            <w:fldChar w:fldCharType="end"/>
          </w:r>
        </w:p>
        <w:p>
          <w:pPr>
            <w:pStyle w:val="12"/>
            <w:tabs>
              <w:tab w:val="right" w:leader="dot" w:pos="8306"/>
            </w:tabs>
          </w:pPr>
          <w:r>
            <w:fldChar w:fldCharType="begin"/>
          </w:r>
          <w:r>
            <w:instrText xml:space="preserve"> HYPERLINK \l "_Toc32619" </w:instrText>
          </w:r>
          <w:r>
            <w:fldChar w:fldCharType="separate"/>
          </w:r>
          <w:r>
            <w:rPr>
              <w:rFonts w:hint="eastAsia"/>
            </w:rPr>
            <w:t>（一）听取人大代表、政协委员、社会公众和有关专家学者意见</w:t>
          </w:r>
          <w:r>
            <w:tab/>
          </w:r>
          <w:r>
            <w:fldChar w:fldCharType="end"/>
          </w:r>
        </w:p>
        <w:p>
          <w:pPr>
            <w:pStyle w:val="12"/>
            <w:tabs>
              <w:tab w:val="right" w:leader="dot" w:pos="8306"/>
            </w:tabs>
          </w:pPr>
          <w:r>
            <w:fldChar w:fldCharType="begin"/>
          </w:r>
          <w:r>
            <w:instrText xml:space="preserve"> HYPERLINK \l "_Toc10772" </w:instrText>
          </w:r>
          <w:r>
            <w:fldChar w:fldCharType="separate"/>
          </w:r>
          <w:r>
            <w:rPr>
              <w:rFonts w:hint="eastAsia"/>
            </w:rPr>
            <w:t>（二）征求集体经济组织和农民意见</w:t>
          </w:r>
          <w:r>
            <w:tab/>
          </w:r>
          <w:r>
            <w:fldChar w:fldCharType="end"/>
          </w:r>
        </w:p>
        <w:p>
          <w:pPr>
            <w:pStyle w:val="11"/>
            <w:tabs>
              <w:tab w:val="right" w:leader="dot" w:pos="8306"/>
              <w:tab w:val="clear" w:pos="8296"/>
            </w:tabs>
          </w:pPr>
          <w:r>
            <w:fldChar w:fldCharType="begin"/>
          </w:r>
          <w:r>
            <w:instrText xml:space="preserve"> HYPERLINK \l "_Toc6538" </w:instrText>
          </w:r>
          <w:r>
            <w:fldChar w:fldCharType="separate"/>
          </w:r>
          <w:r>
            <w:rPr>
              <w:rFonts w:ascii="Times New Roman" w:hAnsi="Times New Roman"/>
            </w:rPr>
            <w:t>十、结论</w:t>
          </w:r>
          <w:r>
            <w:tab/>
          </w:r>
          <w:r>
            <w:fldChar w:fldCharType="end"/>
          </w:r>
        </w:p>
        <w:p>
          <w:pPr>
            <w:pStyle w:val="11"/>
            <w:tabs>
              <w:tab w:val="right" w:leader="dot" w:pos="8306"/>
              <w:tab w:val="clear" w:pos="8296"/>
            </w:tabs>
          </w:pPr>
          <w:r>
            <w:fldChar w:fldCharType="begin"/>
          </w:r>
          <w:r>
            <w:instrText xml:space="preserve"> HYPERLINK \l "_Toc8201" </w:instrText>
          </w:r>
          <w:r>
            <w:fldChar w:fldCharType="separate"/>
          </w:r>
          <w:r>
            <w:rPr>
              <w:rFonts w:hint="eastAsia"/>
            </w:rPr>
            <w:t>十一、附图</w:t>
          </w:r>
          <w:r>
            <w:tab/>
          </w:r>
          <w:r>
            <w:fldChar w:fldCharType="end"/>
          </w:r>
        </w:p>
        <w:p>
          <w:pPr>
            <w:pStyle w:val="11"/>
            <w:tabs>
              <w:tab w:val="right" w:leader="dot" w:pos="8306"/>
              <w:tab w:val="clear" w:pos="8296"/>
            </w:tabs>
          </w:pPr>
          <w:r>
            <w:fldChar w:fldCharType="begin"/>
          </w:r>
          <w:r>
            <w:instrText xml:space="preserve"> HYPERLINK \l "_Toc25685" </w:instrText>
          </w:r>
          <w:r>
            <w:fldChar w:fldCharType="separate"/>
          </w:r>
          <w:r>
            <w:rPr>
              <w:rFonts w:hint="eastAsia"/>
            </w:rPr>
            <w:t>十二、附表</w:t>
          </w:r>
          <w:r>
            <w:tab/>
          </w:r>
          <w:r>
            <w:fldChar w:fldCharType="end"/>
          </w:r>
        </w:p>
        <w:p>
          <w:pPr>
            <w:pStyle w:val="12"/>
            <w:tabs>
              <w:tab w:val="right" w:leader="dot" w:pos="8306"/>
            </w:tabs>
          </w:pPr>
          <w:r>
            <w:fldChar w:fldCharType="begin"/>
          </w:r>
          <w:r>
            <w:instrText xml:space="preserve"> HYPERLINK \l "_Toc19659" </w:instrText>
          </w:r>
          <w:r>
            <w:fldChar w:fldCharType="separate"/>
          </w:r>
          <w:r>
            <w:rPr>
              <w:rFonts w:hint="eastAsia"/>
            </w:rPr>
            <w:t>附表1</w:t>
          </w:r>
          <w:r>
            <w:t xml:space="preserve"> </w:t>
          </w:r>
          <w:r>
            <w:rPr>
              <w:rFonts w:hint="eastAsia"/>
            </w:rPr>
            <w:t>土地利用现状及权属统计表</w:t>
          </w:r>
          <w:r>
            <w:tab/>
          </w:r>
          <w:r>
            <w:fldChar w:fldCharType="end"/>
          </w:r>
        </w:p>
        <w:p>
          <w:pPr>
            <w:pStyle w:val="12"/>
            <w:tabs>
              <w:tab w:val="right" w:leader="dot" w:pos="8306"/>
            </w:tabs>
          </w:pPr>
          <w:r>
            <w:fldChar w:fldCharType="begin"/>
          </w:r>
          <w:r>
            <w:instrText xml:space="preserve"> HYPERLINK \l "_Toc32074" </w:instrText>
          </w:r>
          <w:r>
            <w:fldChar w:fldCharType="separate"/>
          </w:r>
          <w:r>
            <w:rPr>
              <w:rFonts w:hint="eastAsia"/>
            </w:rPr>
            <w:t>附表2</w:t>
          </w:r>
          <w:r>
            <w:t xml:space="preserve">  </w:t>
          </w:r>
          <w:r>
            <w:rPr>
              <w:rFonts w:hint="eastAsia"/>
            </w:rPr>
            <w:t>地块用途、面积及实现功能统计表</w:t>
          </w:r>
          <w:r>
            <w:tab/>
          </w:r>
          <w:r>
            <w:fldChar w:fldCharType="end"/>
          </w:r>
        </w:p>
        <w:p>
          <w:pPr>
            <w:pStyle w:val="12"/>
            <w:tabs>
              <w:tab w:val="right" w:leader="dot" w:pos="8306"/>
            </w:tabs>
          </w:pPr>
          <w:r>
            <w:fldChar w:fldCharType="begin"/>
          </w:r>
          <w:r>
            <w:instrText xml:space="preserve"> HYPERLINK \l "_Toc20565" </w:instrText>
          </w:r>
          <w:r>
            <w:fldChar w:fldCharType="separate"/>
          </w:r>
          <w:r>
            <w:rPr>
              <w:rFonts w:hint="eastAsia"/>
            </w:rPr>
            <w:t xml:space="preserve">附表3 </w:t>
          </w:r>
          <w:r>
            <w:t>拟建</w:t>
          </w:r>
          <w:r>
            <w:rPr>
              <w:rFonts w:hint="eastAsia"/>
            </w:rPr>
            <w:t>设</w:t>
          </w:r>
          <w:r>
            <w:t>项目统计表</w:t>
          </w:r>
          <w:r>
            <w:tab/>
          </w:r>
          <w:r>
            <w:fldChar w:fldCharType="end"/>
          </w:r>
        </w:p>
        <w:p>
          <w:pPr>
            <w:pStyle w:val="12"/>
            <w:tabs>
              <w:tab w:val="right" w:leader="dot" w:pos="8306"/>
            </w:tabs>
          </w:pPr>
          <w:r>
            <w:fldChar w:fldCharType="begin"/>
          </w:r>
          <w:r>
            <w:instrText xml:space="preserve"> HYPERLINK \l "_Toc781" </w:instrText>
          </w:r>
          <w:r>
            <w:fldChar w:fldCharType="separate"/>
          </w:r>
          <w:r>
            <w:rPr>
              <w:rFonts w:hint="eastAsia"/>
            </w:rPr>
            <w:t>附表4 开发时序和年度实施计划统计表</w:t>
          </w:r>
          <w:r>
            <w:tab/>
          </w:r>
          <w:r>
            <w:fldChar w:fldCharType="end"/>
          </w:r>
        </w:p>
        <w:p>
          <w:pPr>
            <w:ind w:firstLine="480"/>
            <w:rPr>
              <w:rFonts w:ascii="宋体" w:hAnsi="宋体"/>
              <w:b/>
              <w:bCs/>
              <w:szCs w:val="24"/>
              <w:lang w:val="zh-CN"/>
            </w:rPr>
          </w:pPr>
          <w:r>
            <w:rPr>
              <w:rFonts w:ascii="宋体" w:hAnsi="宋体" w:cs="Times New Roman"/>
              <w:bCs/>
              <w:kern w:val="0"/>
              <w:szCs w:val="24"/>
            </w:rPr>
            <w:fldChar w:fldCharType="end"/>
          </w:r>
        </w:p>
      </w:sdtContent>
    </w:sdt>
    <w:p>
      <w:pPr>
        <w:spacing w:line="720" w:lineRule="auto"/>
        <w:ind w:firstLine="0" w:firstLineChars="0"/>
        <w:rPr>
          <w:rFonts w:ascii="Calibri" w:hAnsi="Calibri" w:cs="Times New Roman"/>
          <w:sz w:val="36"/>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26" w:charSpace="0"/>
        </w:sectPr>
      </w:pPr>
    </w:p>
    <w:p>
      <w:pPr>
        <w:pStyle w:val="4"/>
        <w:rPr>
          <w:rFonts w:ascii="Times New Roman" w:hAnsi="Times New Roman" w:cs="Times New Roman"/>
        </w:rPr>
      </w:pPr>
      <w:bookmarkStart w:id="2" w:name="_Toc17717"/>
      <w:r>
        <w:rPr>
          <w:rFonts w:ascii="Times New Roman" w:hAnsi="Times New Roman" w:cs="Times New Roman"/>
        </w:rPr>
        <w:t>一、概述</w:t>
      </w:r>
      <w:bookmarkEnd w:id="0"/>
      <w:bookmarkEnd w:id="2"/>
    </w:p>
    <w:p>
      <w:pPr>
        <w:pStyle w:val="5"/>
        <w:ind w:firstLine="198" w:firstLineChars="82"/>
        <w:rPr>
          <w:rFonts w:ascii="Times New Roman" w:hAnsi="Times New Roman" w:cs="Times New Roman"/>
        </w:rPr>
      </w:pPr>
      <w:bookmarkStart w:id="3" w:name="_Toc20078"/>
      <w:bookmarkStart w:id="4" w:name="_Toc67952575"/>
      <w:r>
        <w:rPr>
          <w:rFonts w:ascii="Times New Roman" w:hAnsi="Times New Roman" w:cs="Times New Roman"/>
        </w:rPr>
        <w:t>（一）背景</w:t>
      </w:r>
      <w:bookmarkEnd w:id="3"/>
      <w:bookmarkEnd w:id="4"/>
    </w:p>
    <w:p>
      <w:pPr>
        <w:pStyle w:val="6"/>
        <w:ind w:firstLine="199" w:firstLineChars="83"/>
        <w:rPr>
          <w:rFonts w:ascii="Times New Roman" w:hAnsi="Times New Roman" w:cs="Times New Roman"/>
        </w:rPr>
      </w:pPr>
      <w:bookmarkStart w:id="5" w:name="_Toc67952576"/>
      <w:r>
        <w:rPr>
          <w:rFonts w:ascii="Times New Roman" w:hAnsi="Times New Roman" w:cs="Times New Roman"/>
        </w:rPr>
        <w:t>1.政策背景</w:t>
      </w:r>
      <w:bookmarkEnd w:id="5"/>
    </w:p>
    <w:p>
      <w:pPr>
        <w:ind w:firstLine="480"/>
        <w:rPr>
          <w:rFonts w:ascii="Times New Roman" w:hAnsi="Times New Roman" w:cs="Times New Roman"/>
          <w:szCs w:val="24"/>
        </w:rPr>
      </w:pPr>
      <w:r>
        <w:rPr>
          <w:rFonts w:ascii="Times New Roman" w:hAnsi="Times New Roman" w:cs="Times New Roman"/>
          <w:szCs w:val="24"/>
        </w:rPr>
        <w:t>2020年11月5日，自然资源部发布了关于《土地征收成片开发标准（试行）》，对《中华人民共和国土地管理法（2020年修订实施）》第四十五条规定的土地开发做出成片征收标准规定，支持县级以上地方人民政府对一定范围的土地进行综合性开发，并统筹进行方案设计、功能导入、征地拆迁</w:t>
      </w:r>
      <w:r>
        <w:rPr>
          <w:rFonts w:hint="eastAsia" w:ascii="Times New Roman" w:hAnsi="Times New Roman" w:cs="Times New Roman"/>
          <w:szCs w:val="24"/>
        </w:rPr>
        <w:t>和</w:t>
      </w:r>
      <w:r>
        <w:rPr>
          <w:rFonts w:ascii="Times New Roman" w:hAnsi="Times New Roman" w:cs="Times New Roman"/>
          <w:szCs w:val="24"/>
        </w:rPr>
        <w:t>集中建设。</w:t>
      </w:r>
      <w:r>
        <w:rPr>
          <w:rFonts w:hint="eastAsia" w:ascii="Times New Roman" w:hAnsi="Times New Roman" w:cs="Times New Roman"/>
          <w:szCs w:val="24"/>
        </w:rPr>
        <w:t>《福建省城市规划管理技术规定》是城市规划管理重要的技术支撑，使城市规划管理法制化、规范化。《福建省土地征收成片开发方案编制参考指南（试行）》</w:t>
      </w:r>
      <w:r>
        <w:t>规范</w:t>
      </w:r>
      <w:r>
        <w:rPr>
          <w:rFonts w:hint="eastAsia"/>
        </w:rPr>
        <w:t>了</w:t>
      </w:r>
      <w:r>
        <w:t>土地征收成片开发方案审查报批工作，保障经济和社会发展用地需要，维护被征收农村集体经济组织和农民的合法权益</w:t>
      </w:r>
      <w:r>
        <w:rPr>
          <w:rFonts w:hint="eastAsia"/>
        </w:rPr>
        <w:t>。</w:t>
      </w:r>
    </w:p>
    <w:p>
      <w:pPr>
        <w:pStyle w:val="6"/>
        <w:ind w:firstLine="199" w:firstLineChars="83"/>
        <w:rPr>
          <w:rFonts w:ascii="Times New Roman" w:hAnsi="Times New Roman" w:cs="Times New Roman"/>
        </w:rPr>
      </w:pPr>
      <w:bookmarkStart w:id="6" w:name="_Toc67952577"/>
      <w:r>
        <w:rPr>
          <w:rFonts w:ascii="Times New Roman" w:hAnsi="Times New Roman" w:cs="Times New Roman"/>
        </w:rPr>
        <w:t>2.区域背景</w:t>
      </w:r>
      <w:bookmarkEnd w:id="6"/>
    </w:p>
    <w:p>
      <w:pPr>
        <w:ind w:firstLine="480"/>
        <w:rPr>
          <w:rFonts w:ascii="Times New Roman" w:hAnsi="Times New Roman" w:cs="Times New Roman"/>
          <w:szCs w:val="24"/>
        </w:rPr>
      </w:pPr>
      <w:r>
        <w:rPr>
          <w:rFonts w:ascii="Times New Roman" w:hAnsi="Times New Roman" w:cs="Times New Roman"/>
          <w:szCs w:val="24"/>
        </w:rPr>
        <w:t>2021年是实施</w:t>
      </w:r>
      <w:r>
        <w:rPr>
          <w:rFonts w:hint="eastAsia" w:ascii="Times New Roman" w:hAnsi="Times New Roman" w:cs="Times New Roman"/>
          <w:szCs w:val="24"/>
        </w:rPr>
        <w:t>“</w:t>
      </w:r>
      <w:r>
        <w:rPr>
          <w:rFonts w:ascii="Times New Roman" w:hAnsi="Times New Roman" w:cs="Times New Roman"/>
          <w:szCs w:val="24"/>
        </w:rPr>
        <w:t>十四五</w:t>
      </w:r>
      <w:r>
        <w:rPr>
          <w:rFonts w:hint="eastAsia" w:ascii="Times New Roman" w:hAnsi="Times New Roman" w:cs="Times New Roman"/>
          <w:szCs w:val="24"/>
        </w:rPr>
        <w:t>”</w:t>
      </w:r>
      <w:r>
        <w:rPr>
          <w:rFonts w:ascii="Times New Roman" w:hAnsi="Times New Roman" w:cs="Times New Roman"/>
          <w:szCs w:val="24"/>
        </w:rPr>
        <w:t>规划的开局之年。仙游县紧紧围绕中央、省委、市委和县委决策部署，突出开放招商、强化项目带动，大力实施强产业、兴城市</w:t>
      </w:r>
      <w:r>
        <w:rPr>
          <w:rFonts w:hint="eastAsia" w:ascii="Times New Roman" w:hAnsi="Times New Roman" w:cs="Times New Roman"/>
          <w:szCs w:val="24"/>
        </w:rPr>
        <w:t>“</w:t>
      </w:r>
      <w:r>
        <w:rPr>
          <w:rFonts w:ascii="Times New Roman" w:hAnsi="Times New Roman" w:cs="Times New Roman"/>
          <w:szCs w:val="24"/>
        </w:rPr>
        <w:t>双轮</w:t>
      </w:r>
      <w:r>
        <w:rPr>
          <w:rFonts w:hint="eastAsia" w:ascii="Times New Roman" w:hAnsi="Times New Roman" w:cs="Times New Roman"/>
          <w:szCs w:val="24"/>
        </w:rPr>
        <w:t>”</w:t>
      </w:r>
      <w:r>
        <w:rPr>
          <w:rFonts w:ascii="Times New Roman" w:hAnsi="Times New Roman" w:cs="Times New Roman"/>
          <w:szCs w:val="24"/>
        </w:rPr>
        <w:t>驱动，为</w:t>
      </w:r>
      <w:r>
        <w:rPr>
          <w:rFonts w:hint="eastAsia" w:ascii="Times New Roman" w:hAnsi="Times New Roman" w:cs="Times New Roman"/>
          <w:szCs w:val="24"/>
        </w:rPr>
        <w:t>“</w:t>
      </w:r>
      <w:r>
        <w:rPr>
          <w:rFonts w:ascii="Times New Roman" w:hAnsi="Times New Roman" w:cs="Times New Roman"/>
          <w:szCs w:val="24"/>
        </w:rPr>
        <w:t>十四五</w:t>
      </w:r>
      <w:r>
        <w:rPr>
          <w:rFonts w:hint="eastAsia" w:ascii="Times New Roman" w:hAnsi="Times New Roman" w:cs="Times New Roman"/>
          <w:szCs w:val="24"/>
        </w:rPr>
        <w:t>”</w:t>
      </w:r>
      <w:r>
        <w:rPr>
          <w:rFonts w:ascii="Times New Roman" w:hAnsi="Times New Roman" w:cs="Times New Roman"/>
          <w:szCs w:val="24"/>
        </w:rPr>
        <w:t>发展开好局、起好步</w:t>
      </w:r>
      <w:r>
        <w:rPr>
          <w:rFonts w:hint="eastAsia" w:ascii="Times New Roman" w:hAnsi="Times New Roman" w:cs="Times New Roman"/>
          <w:szCs w:val="24"/>
        </w:rPr>
        <w:t>。</w:t>
      </w:r>
      <w:r>
        <w:rPr>
          <w:rFonts w:ascii="Times New Roman" w:hAnsi="Times New Roman" w:cs="Times New Roman"/>
          <w:szCs w:val="24"/>
        </w:rPr>
        <w:t>本</w:t>
      </w:r>
      <w:r>
        <w:rPr>
          <w:rFonts w:hint="eastAsia" w:ascii="Times New Roman" w:hAnsi="Times New Roman" w:cs="Times New Roman"/>
          <w:szCs w:val="24"/>
        </w:rPr>
        <w:t>次成片开发</w:t>
      </w:r>
      <w:r>
        <w:rPr>
          <w:rFonts w:ascii="Times New Roman" w:hAnsi="Times New Roman" w:cs="Times New Roman"/>
          <w:szCs w:val="24"/>
        </w:rPr>
        <w:t>区域位于</w:t>
      </w:r>
      <w:r>
        <w:rPr>
          <w:rFonts w:hint="eastAsia" w:ascii="Times New Roman" w:hAnsi="Times New Roman" w:cs="Times New Roman"/>
          <w:szCs w:val="24"/>
        </w:rPr>
        <w:t>“五片区两组团”</w:t>
      </w:r>
      <w:r>
        <w:rPr>
          <w:rFonts w:ascii="Times New Roman" w:hAnsi="Times New Roman" w:cs="Times New Roman"/>
          <w:szCs w:val="24"/>
        </w:rPr>
        <w:t>改造中</w:t>
      </w:r>
      <w:r>
        <w:rPr>
          <w:rFonts w:hint="eastAsia" w:ascii="Times New Roman" w:hAnsi="Times New Roman" w:cs="Times New Roman"/>
          <w:szCs w:val="24"/>
        </w:rPr>
        <w:t>的</w:t>
      </w:r>
      <w:r>
        <w:rPr>
          <w:rFonts w:ascii="Times New Roman" w:hAnsi="Times New Roman" w:cs="Times New Roman"/>
          <w:szCs w:val="24"/>
        </w:rPr>
        <w:t>慈岳片区，地处仙游县枫亭镇，</w:t>
      </w:r>
      <w:r>
        <w:rPr>
          <w:rFonts w:hint="eastAsia" w:ascii="Times New Roman" w:hAnsi="Times New Roman" w:cs="Times New Roman"/>
          <w:szCs w:val="24"/>
        </w:rPr>
        <w:t>是仙游县“强产业、兴城市”三年行动计划暨十四五规划重点改造区域，</w:t>
      </w:r>
      <w:r>
        <w:rPr>
          <w:rFonts w:ascii="Times New Roman" w:hAnsi="Times New Roman" w:cs="Times New Roman"/>
          <w:szCs w:val="24"/>
        </w:rPr>
        <w:t>开发涉及工矿用地、绿地与开敞空间用地、道路与交通用地等，符合 2021 年国民经济和社会发展计划。</w:t>
      </w:r>
    </w:p>
    <w:p>
      <w:pPr>
        <w:pStyle w:val="6"/>
        <w:ind w:firstLine="199" w:firstLineChars="83"/>
        <w:rPr>
          <w:rFonts w:ascii="Times New Roman" w:hAnsi="Times New Roman" w:cs="Times New Roman"/>
        </w:rPr>
      </w:pPr>
      <w:r>
        <w:rPr>
          <w:rFonts w:hint="eastAsia" w:ascii="Times New Roman" w:hAnsi="Times New Roman" w:cs="Times New Roman"/>
        </w:rPr>
        <w:t>3.意义</w:t>
      </w:r>
    </w:p>
    <w:p>
      <w:pPr>
        <w:ind w:firstLine="480"/>
        <w:rPr>
          <w:rFonts w:ascii="Times New Roman" w:hAnsi="Times New Roman" w:cs="Times New Roman"/>
          <w:szCs w:val="24"/>
        </w:rPr>
      </w:pPr>
      <w:r>
        <w:rPr>
          <w:rFonts w:hint="eastAsia" w:ascii="Times New Roman" w:hAnsi="Times New Roman" w:cs="Times New Roman"/>
          <w:szCs w:val="24"/>
        </w:rPr>
        <w:t>本次成片开发方案有助于推动慈岳片区</w:t>
      </w:r>
      <w:r>
        <w:rPr>
          <w:rFonts w:ascii="宋体" w:hAnsi="宋体"/>
          <w:szCs w:val="28"/>
        </w:rPr>
        <w:t>新型功能材料等产业</w:t>
      </w:r>
      <w:r>
        <w:rPr>
          <w:rFonts w:hint="eastAsia" w:ascii="宋体" w:hAnsi="宋体"/>
          <w:szCs w:val="28"/>
        </w:rPr>
        <w:t>的发展，</w:t>
      </w:r>
      <w:r>
        <w:rPr>
          <w:rFonts w:ascii="Times New Roman" w:hAnsi="Times New Roman" w:cs="Times New Roman"/>
          <w:szCs w:val="24"/>
        </w:rPr>
        <w:t>实现城市土地集约化，提升土地价值，</w:t>
      </w:r>
      <w:r>
        <w:rPr>
          <w:rFonts w:ascii="宋体" w:hAnsi="宋体"/>
          <w:szCs w:val="28"/>
        </w:rPr>
        <w:t>完善</w:t>
      </w:r>
      <w:r>
        <w:rPr>
          <w:rFonts w:hint="eastAsia" w:ascii="宋体" w:hAnsi="宋体"/>
          <w:szCs w:val="28"/>
        </w:rPr>
        <w:t>区域</w:t>
      </w:r>
      <w:r>
        <w:rPr>
          <w:rFonts w:ascii="宋体" w:hAnsi="宋体"/>
          <w:szCs w:val="28"/>
        </w:rPr>
        <w:t>产业链和配套服务</w:t>
      </w:r>
      <w:r>
        <w:rPr>
          <w:rFonts w:hint="eastAsia" w:ascii="宋体" w:hAnsi="宋体"/>
          <w:szCs w:val="28"/>
        </w:rPr>
        <w:t>。可以助推</w:t>
      </w:r>
      <w:r>
        <w:rPr>
          <w:rFonts w:ascii="宋体" w:hAnsi="宋体"/>
          <w:szCs w:val="28"/>
        </w:rPr>
        <w:t>仙游实现全方位高质量发展超越</w:t>
      </w:r>
      <w:r>
        <w:rPr>
          <w:rFonts w:hint="eastAsia" w:ascii="宋体" w:hAnsi="宋体"/>
          <w:szCs w:val="28"/>
        </w:rPr>
        <w:t>，打造</w:t>
      </w:r>
      <w:r>
        <w:rPr>
          <w:rFonts w:ascii="宋体" w:hAnsi="宋体"/>
          <w:szCs w:val="28"/>
        </w:rPr>
        <w:t>宜业宜居产城融合示范区</w:t>
      </w:r>
      <w:r>
        <w:rPr>
          <w:rFonts w:hint="eastAsia" w:ascii="宋体" w:hAnsi="宋体"/>
          <w:szCs w:val="28"/>
        </w:rPr>
        <w:t>，</w:t>
      </w:r>
      <w:r>
        <w:rPr>
          <w:rFonts w:ascii="宋体" w:hAnsi="宋体"/>
          <w:szCs w:val="28"/>
        </w:rPr>
        <w:t>有利于推动仙游经济开发区升格为国家级经济开发区</w:t>
      </w:r>
      <w:r>
        <w:rPr>
          <w:rFonts w:hint="eastAsia" w:ascii="宋体" w:hAnsi="宋体"/>
          <w:szCs w:val="28"/>
        </w:rPr>
        <w:t>。</w:t>
      </w:r>
    </w:p>
    <w:p>
      <w:pPr>
        <w:pStyle w:val="5"/>
        <w:ind w:firstLine="198" w:firstLineChars="82"/>
        <w:rPr>
          <w:rFonts w:ascii="Times New Roman" w:hAnsi="Times New Roman" w:cs="Times New Roman"/>
        </w:rPr>
      </w:pPr>
      <w:bookmarkStart w:id="7" w:name="_Toc21095"/>
      <w:bookmarkStart w:id="8" w:name="_Toc67952578"/>
      <w:r>
        <w:rPr>
          <w:rFonts w:ascii="Times New Roman" w:hAnsi="Times New Roman" w:cs="Times New Roman"/>
        </w:rPr>
        <w:t>（二）编制原则</w:t>
      </w:r>
      <w:bookmarkEnd w:id="7"/>
      <w:bookmarkEnd w:id="8"/>
    </w:p>
    <w:p>
      <w:pPr>
        <w:pStyle w:val="6"/>
        <w:ind w:firstLine="196" w:firstLineChars="82"/>
        <w:rPr>
          <w:rFonts w:ascii="Times New Roman" w:hAnsi="Times New Roman" w:cs="Times New Roman"/>
        </w:rPr>
      </w:pPr>
      <w:bookmarkStart w:id="9" w:name="_Toc67952579"/>
      <w:r>
        <w:rPr>
          <w:rFonts w:ascii="Times New Roman" w:hAnsi="Times New Roman" w:cs="Times New Roman"/>
        </w:rPr>
        <w:t>1.遵守法律法规、维护公共利益原则</w:t>
      </w:r>
      <w:bookmarkEnd w:id="9"/>
    </w:p>
    <w:p>
      <w:pPr>
        <w:ind w:firstLine="480"/>
        <w:rPr>
          <w:rFonts w:ascii="Times New Roman" w:hAnsi="Times New Roman" w:cs="Times New Roman"/>
          <w:szCs w:val="24"/>
        </w:rPr>
      </w:pPr>
      <w:r>
        <w:rPr>
          <w:rFonts w:ascii="Times New Roman" w:hAnsi="Times New Roman" w:cs="Times New Roman"/>
          <w:szCs w:val="24"/>
        </w:rPr>
        <w:t>本次土地征收成片开发编制严格遵循《中华人民共和国土地管理法》（2020 年修订实施）等相关法律、法规和规程的规定；符合国民经济和社会发展规划</w:t>
      </w:r>
      <w:r>
        <w:rPr>
          <w:rFonts w:hint="eastAsia" w:ascii="Times New Roman" w:hAnsi="Times New Roman" w:cs="Times New Roman"/>
          <w:szCs w:val="24"/>
        </w:rPr>
        <w:t>，已</w:t>
      </w:r>
      <w:r>
        <w:rPr>
          <w:rFonts w:ascii="Times New Roman" w:hAnsi="Times New Roman" w:cs="Times New Roman"/>
          <w:szCs w:val="24"/>
        </w:rPr>
        <w:t>纳入 2021 年度仙游县国民经济和社会发展计划</w:t>
      </w:r>
      <w:r>
        <w:rPr>
          <w:rFonts w:hint="eastAsia" w:ascii="Times New Roman" w:hAnsi="Times New Roman" w:cs="Times New Roman"/>
          <w:szCs w:val="24"/>
        </w:rPr>
        <w:t>，在编制仙游县国土空间规划时，将纳入城镇开发边界内的集中建设区</w:t>
      </w:r>
      <w:r>
        <w:rPr>
          <w:rFonts w:ascii="Times New Roman" w:hAnsi="Times New Roman" w:cs="Times New Roman"/>
          <w:szCs w:val="24"/>
        </w:rPr>
        <w:t>。秉承</w:t>
      </w:r>
      <w:r>
        <w:rPr>
          <w:rFonts w:hint="eastAsia" w:ascii="Times New Roman" w:hAnsi="Times New Roman" w:cs="Times New Roman"/>
          <w:szCs w:val="24"/>
        </w:rPr>
        <w:t>“</w:t>
      </w:r>
      <w:r>
        <w:rPr>
          <w:rFonts w:ascii="Times New Roman" w:hAnsi="Times New Roman" w:cs="Times New Roman"/>
          <w:szCs w:val="24"/>
        </w:rPr>
        <w:t>以人为本</w:t>
      </w:r>
      <w:r>
        <w:rPr>
          <w:rFonts w:hint="eastAsia" w:ascii="Times New Roman" w:hAnsi="Times New Roman" w:cs="Times New Roman"/>
          <w:szCs w:val="24"/>
        </w:rPr>
        <w:t>”</w:t>
      </w:r>
      <w:r>
        <w:rPr>
          <w:rFonts w:ascii="Times New Roman" w:hAnsi="Times New Roman" w:cs="Times New Roman"/>
          <w:szCs w:val="24"/>
        </w:rPr>
        <w:t>的理念，以生产、生活相配套的原则，在发展经济的同时提高人的生活满意度，着重提高成片开发范围内基础设施、公共服务设施以及其他公益性用地的比例。在编制过程中充分征求成片开发区域内农村集体经济组织和农民的意见。</w:t>
      </w:r>
    </w:p>
    <w:p>
      <w:pPr>
        <w:pStyle w:val="6"/>
        <w:ind w:firstLine="196" w:firstLineChars="82"/>
        <w:rPr>
          <w:rFonts w:ascii="Times New Roman" w:hAnsi="Times New Roman" w:cs="Times New Roman"/>
        </w:rPr>
      </w:pPr>
      <w:bookmarkStart w:id="10" w:name="_Toc67952580"/>
      <w:r>
        <w:rPr>
          <w:rFonts w:ascii="Times New Roman" w:hAnsi="Times New Roman" w:cs="Times New Roman"/>
        </w:rPr>
        <w:t>2.科学合理编制、确保开发必要原则</w:t>
      </w:r>
      <w:bookmarkEnd w:id="10"/>
    </w:p>
    <w:p>
      <w:pPr>
        <w:ind w:firstLine="480"/>
        <w:rPr>
          <w:rFonts w:ascii="Times New Roman" w:hAnsi="Times New Roman" w:cs="Times New Roman"/>
          <w:szCs w:val="24"/>
        </w:rPr>
      </w:pPr>
      <w:r>
        <w:rPr>
          <w:rFonts w:ascii="Times New Roman" w:hAnsi="Times New Roman" w:cs="Times New Roman"/>
          <w:szCs w:val="24"/>
        </w:rPr>
        <w:t>本次土地征收成片开发坚持可持续发展的理念，立足仙游县的长远发展，根据城市发展定位及分片承载的相应城市功能、土地经济规律、社会经济发展及市场需求，来开展片区的土地成片开发编制工作。</w:t>
      </w:r>
    </w:p>
    <w:p>
      <w:pPr>
        <w:pStyle w:val="6"/>
        <w:ind w:firstLine="196" w:firstLineChars="82"/>
        <w:rPr>
          <w:rFonts w:ascii="Times New Roman" w:hAnsi="Times New Roman" w:cs="Times New Roman"/>
        </w:rPr>
      </w:pPr>
      <w:bookmarkStart w:id="11" w:name="_Toc67952581"/>
      <w:r>
        <w:rPr>
          <w:rFonts w:ascii="Times New Roman" w:hAnsi="Times New Roman" w:cs="Times New Roman"/>
        </w:rPr>
        <w:t>3.严格保护耕地、节约集约用地原则</w:t>
      </w:r>
      <w:bookmarkEnd w:id="11"/>
    </w:p>
    <w:p>
      <w:pPr>
        <w:ind w:firstLine="480"/>
        <w:rPr>
          <w:rFonts w:ascii="Times New Roman" w:hAnsi="Times New Roman" w:cs="Times New Roman"/>
          <w:szCs w:val="24"/>
        </w:rPr>
      </w:pPr>
      <w:r>
        <w:rPr>
          <w:rFonts w:ascii="Times New Roman" w:hAnsi="Times New Roman" w:cs="Times New Roman"/>
          <w:szCs w:val="24"/>
        </w:rPr>
        <w:t>土地征收成片开发的编制严格落实</w:t>
      </w:r>
      <w:r>
        <w:rPr>
          <w:rFonts w:hint="eastAsia" w:ascii="Times New Roman" w:hAnsi="Times New Roman" w:cs="Times New Roman"/>
          <w:szCs w:val="24"/>
        </w:rPr>
        <w:t>“</w:t>
      </w:r>
      <w:r>
        <w:rPr>
          <w:rFonts w:ascii="Times New Roman" w:hAnsi="Times New Roman" w:cs="Times New Roman"/>
          <w:szCs w:val="24"/>
        </w:rPr>
        <w:t>保护耕地、占一补一、占优补优</w:t>
      </w:r>
      <w:r>
        <w:rPr>
          <w:rFonts w:hint="eastAsia" w:ascii="Times New Roman" w:hAnsi="Times New Roman" w:cs="Times New Roman"/>
          <w:szCs w:val="24"/>
        </w:rPr>
        <w:t>”</w:t>
      </w:r>
      <w:r>
        <w:rPr>
          <w:rFonts w:ascii="Times New Roman" w:hAnsi="Times New Roman" w:cs="Times New Roman"/>
          <w:szCs w:val="24"/>
        </w:rPr>
        <w:t>的原则。根据慈岳片区周边实际用地需求、土地利用相关政策等确定了成片开发范围，规划布局科学合理。</w:t>
      </w:r>
    </w:p>
    <w:p>
      <w:pPr>
        <w:pStyle w:val="5"/>
        <w:ind w:firstLine="198" w:firstLineChars="82"/>
        <w:rPr>
          <w:rFonts w:ascii="Times New Roman" w:hAnsi="Times New Roman" w:cs="Times New Roman"/>
        </w:rPr>
      </w:pPr>
      <w:bookmarkStart w:id="12" w:name="_Toc11901"/>
      <w:bookmarkStart w:id="13" w:name="_Toc67952582"/>
      <w:r>
        <w:rPr>
          <w:rFonts w:ascii="Times New Roman" w:hAnsi="Times New Roman" w:cs="Times New Roman"/>
        </w:rPr>
        <w:t>（三）编制依据</w:t>
      </w:r>
      <w:bookmarkEnd w:id="12"/>
      <w:bookmarkEnd w:id="13"/>
    </w:p>
    <w:p>
      <w:pPr>
        <w:ind w:firstLine="480"/>
        <w:rPr>
          <w:rFonts w:ascii="Times New Roman" w:hAnsi="Times New Roman" w:cs="Times New Roman"/>
          <w:szCs w:val="24"/>
        </w:rPr>
      </w:pPr>
      <w:bookmarkStart w:id="14" w:name="_Toc67952583"/>
      <w:r>
        <w:rPr>
          <w:rFonts w:hint="eastAsia" w:ascii="Times New Roman" w:hAnsi="Times New Roman" w:cs="Times New Roman"/>
          <w:szCs w:val="24"/>
        </w:rPr>
        <w:t>1、《中华人民共和国土地管理法》（2019 年修正版）</w:t>
      </w:r>
    </w:p>
    <w:p>
      <w:pPr>
        <w:ind w:firstLine="480"/>
        <w:rPr>
          <w:rFonts w:ascii="Times New Roman" w:hAnsi="Times New Roman" w:cs="Times New Roman"/>
          <w:szCs w:val="24"/>
        </w:rPr>
      </w:pPr>
      <w:r>
        <w:rPr>
          <w:rFonts w:hint="eastAsia" w:ascii="Times New Roman" w:hAnsi="Times New Roman" w:cs="Times New Roman"/>
          <w:szCs w:val="24"/>
        </w:rPr>
        <w:t>2、《自然资源部关于印发〈土地征收成片开发标准（试行）〉的通知》（自然资规〔2020〕5 号）</w:t>
      </w:r>
    </w:p>
    <w:p>
      <w:pPr>
        <w:ind w:firstLine="480"/>
        <w:rPr>
          <w:rFonts w:ascii="Times New Roman" w:hAnsi="Times New Roman" w:cs="Times New Roman"/>
          <w:szCs w:val="24"/>
        </w:rPr>
      </w:pPr>
      <w:r>
        <w:rPr>
          <w:rFonts w:hint="eastAsia" w:ascii="Times New Roman" w:hAnsi="Times New Roman" w:cs="Times New Roman"/>
          <w:szCs w:val="24"/>
        </w:rPr>
        <w:t>3、《自然资源部办公厅关于印发〈国土空间调查、规划、用途管制用地用海分类指南（试行）〉》（自然资办发〔2020〕51 号）</w:t>
      </w:r>
    </w:p>
    <w:p>
      <w:pPr>
        <w:ind w:firstLine="480"/>
        <w:rPr>
          <w:rFonts w:ascii="Times New Roman" w:hAnsi="Times New Roman" w:cs="Times New Roman"/>
          <w:szCs w:val="24"/>
        </w:rPr>
      </w:pPr>
      <w:r>
        <w:rPr>
          <w:rFonts w:hint="eastAsia" w:ascii="Times New Roman" w:hAnsi="Times New Roman" w:cs="Times New Roman"/>
          <w:szCs w:val="24"/>
        </w:rPr>
        <w:t>4、《福建省自然资源厅关于印发〈福建省土地征收成片开发方案报批实施细则（试行）〉的通知》（闽自然资发</w:t>
      </w:r>
      <w:bookmarkStart w:id="15" w:name="_Hlk99551427"/>
      <w:r>
        <w:rPr>
          <w:rFonts w:hint="eastAsia" w:ascii="Times New Roman" w:hAnsi="Times New Roman" w:cs="Times New Roman"/>
          <w:szCs w:val="24"/>
        </w:rPr>
        <w:t>〔2021〕</w:t>
      </w:r>
      <w:bookmarkEnd w:id="15"/>
      <w:r>
        <w:rPr>
          <w:rFonts w:hint="eastAsia" w:ascii="Times New Roman" w:hAnsi="Times New Roman" w:cs="Times New Roman"/>
          <w:szCs w:val="24"/>
        </w:rPr>
        <w:t>3 号）</w:t>
      </w:r>
    </w:p>
    <w:p>
      <w:pPr>
        <w:ind w:firstLine="480"/>
        <w:rPr>
          <w:rFonts w:ascii="Times New Roman" w:hAnsi="Times New Roman" w:cs="Times New Roman"/>
          <w:szCs w:val="24"/>
        </w:rPr>
      </w:pPr>
      <w:r>
        <w:rPr>
          <w:rFonts w:hint="eastAsia" w:ascii="Times New Roman" w:hAnsi="Times New Roman" w:cs="Times New Roman"/>
          <w:szCs w:val="24"/>
        </w:rPr>
        <w:t>5、《福建省土地征收成片开发方案编制参考指南（试行）》（闽自然资发〔2021〕6 号）</w:t>
      </w:r>
    </w:p>
    <w:p>
      <w:pPr>
        <w:ind w:firstLine="480"/>
        <w:rPr>
          <w:rFonts w:ascii="Times New Roman" w:hAnsi="Times New Roman" w:cs="Times New Roman"/>
          <w:szCs w:val="24"/>
        </w:rPr>
      </w:pPr>
      <w:r>
        <w:rPr>
          <w:rFonts w:hint="eastAsia" w:ascii="Times New Roman" w:hAnsi="Times New Roman" w:cs="Times New Roman"/>
          <w:szCs w:val="24"/>
        </w:rPr>
        <w:t>6、《关于进一步规范土地征收成片开发方案报批工作的通知》（福建省自然资源厅，2021.03.30）</w:t>
      </w:r>
    </w:p>
    <w:p>
      <w:pPr>
        <w:ind w:firstLine="480"/>
        <w:rPr>
          <w:rFonts w:ascii="Times New Roman" w:hAnsi="Times New Roman" w:cs="Times New Roman"/>
          <w:szCs w:val="24"/>
        </w:rPr>
      </w:pPr>
      <w:r>
        <w:rPr>
          <w:rFonts w:hint="eastAsia" w:ascii="Times New Roman" w:hAnsi="Times New Roman" w:cs="Times New Roman"/>
          <w:szCs w:val="24"/>
        </w:rPr>
        <w:t>7、《仙游县国民经济和社会发展第十四个五年规划和二〇三五年远景目标纲要》</w:t>
      </w:r>
    </w:p>
    <w:p>
      <w:pPr>
        <w:ind w:firstLine="480"/>
        <w:rPr>
          <w:rFonts w:ascii="Times New Roman" w:hAnsi="Times New Roman" w:cs="Times New Roman"/>
          <w:szCs w:val="24"/>
        </w:rPr>
      </w:pPr>
      <w:r>
        <w:rPr>
          <w:rFonts w:hint="eastAsia" w:ascii="Times New Roman" w:hAnsi="Times New Roman" w:cs="Times New Roman"/>
          <w:szCs w:val="24"/>
        </w:rPr>
        <w:t>8、《仙游县土地利用总体规划（2006-2020）》</w:t>
      </w:r>
    </w:p>
    <w:p>
      <w:pPr>
        <w:ind w:firstLine="480"/>
        <w:rPr>
          <w:rFonts w:ascii="Times New Roman" w:hAnsi="Times New Roman" w:cs="Times New Roman"/>
          <w:szCs w:val="24"/>
        </w:rPr>
      </w:pPr>
      <w:r>
        <w:rPr>
          <w:rFonts w:hint="eastAsia" w:ascii="Times New Roman" w:hAnsi="Times New Roman" w:cs="Times New Roman"/>
          <w:szCs w:val="24"/>
        </w:rPr>
        <w:t>9、</w:t>
      </w:r>
      <w:r>
        <w:rPr>
          <w:rFonts w:ascii="Times New Roman" w:hAnsi="Times New Roman" w:cs="Times New Roman"/>
          <w:szCs w:val="24"/>
        </w:rPr>
        <w:t>《仙游县 2020 年国民经济和社会发展计划执行情况及2021 年国民经济和社会发展计划》</w:t>
      </w:r>
    </w:p>
    <w:p>
      <w:pPr>
        <w:ind w:firstLine="480"/>
        <w:rPr>
          <w:rFonts w:ascii="Times New Roman" w:hAnsi="Times New Roman" w:cs="Times New Roman"/>
          <w:szCs w:val="24"/>
        </w:rPr>
      </w:pPr>
      <w:r>
        <w:rPr>
          <w:rFonts w:hint="eastAsia" w:ascii="Times New Roman" w:hAnsi="Times New Roman" w:cs="Times New Roman"/>
          <w:szCs w:val="24"/>
        </w:rPr>
        <w:t>10、仙游县（350902）2018 年度土地变更调查成果</w:t>
      </w:r>
    </w:p>
    <w:p>
      <w:pPr>
        <w:ind w:firstLine="480"/>
        <w:rPr>
          <w:rFonts w:ascii="Times New Roman" w:hAnsi="Times New Roman" w:cs="Times New Roman"/>
          <w:szCs w:val="24"/>
        </w:rPr>
      </w:pPr>
      <w:r>
        <w:rPr>
          <w:rFonts w:hint="eastAsia" w:ascii="Times New Roman" w:hAnsi="Times New Roman" w:cs="Times New Roman"/>
          <w:szCs w:val="24"/>
        </w:rPr>
        <w:t>11、《仙游县枫亭镇慈岳片区控制性详细规划》</w:t>
      </w:r>
    </w:p>
    <w:p>
      <w:pPr>
        <w:ind w:firstLine="480"/>
        <w:rPr>
          <w:rFonts w:ascii="Times New Roman" w:hAnsi="Times New Roman" w:cs="Times New Roman"/>
          <w:szCs w:val="24"/>
        </w:rPr>
      </w:pPr>
      <w:r>
        <w:rPr>
          <w:rFonts w:hint="eastAsia" w:ascii="Times New Roman" w:hAnsi="Times New Roman" w:cs="Times New Roman"/>
          <w:szCs w:val="24"/>
        </w:rPr>
        <w:t>12、其他仙游县县域数据及资料</w:t>
      </w:r>
    </w:p>
    <w:bookmarkEnd w:id="14"/>
    <w:p>
      <w:pPr>
        <w:pStyle w:val="4"/>
      </w:pPr>
      <w:bookmarkStart w:id="16" w:name="_Toc67952585"/>
      <w:bookmarkStart w:id="17" w:name="_Toc19816"/>
      <w:r>
        <w:rPr>
          <w:rFonts w:hint="eastAsia"/>
        </w:rPr>
        <w:t>二、编制情况</w:t>
      </w:r>
      <w:bookmarkEnd w:id="16"/>
      <w:bookmarkEnd w:id="17"/>
    </w:p>
    <w:p>
      <w:pPr>
        <w:pStyle w:val="5"/>
        <w:ind w:firstLine="198" w:firstLineChars="82"/>
      </w:pPr>
      <w:bookmarkStart w:id="18" w:name="_Toc21904"/>
      <w:bookmarkStart w:id="19" w:name="_Toc67952588"/>
      <w:r>
        <w:rPr>
          <w:rFonts w:hint="eastAsia"/>
        </w:rPr>
        <w:t>（一）批而未供土地和闲置土地情况</w:t>
      </w:r>
      <w:bookmarkEnd w:id="18"/>
      <w:bookmarkEnd w:id="19"/>
    </w:p>
    <w:p>
      <w:pPr>
        <w:ind w:firstLine="480"/>
        <w:rPr>
          <w:rFonts w:ascii="宋体" w:hAnsi="宋体" w:cs="Times New Roman"/>
          <w:kern w:val="44"/>
          <w:szCs w:val="24"/>
        </w:rPr>
      </w:pPr>
      <w:r>
        <w:rPr>
          <w:rFonts w:hint="eastAsia" w:ascii="宋体" w:hAnsi="宋体" w:cs="Times New Roman"/>
          <w:kern w:val="44"/>
          <w:szCs w:val="24"/>
        </w:rPr>
        <w:t>截至</w:t>
      </w:r>
      <w:r>
        <w:rPr>
          <w:rFonts w:ascii="宋体" w:hAnsi="宋体" w:cs="Times New Roman"/>
          <w:kern w:val="44"/>
          <w:szCs w:val="24"/>
        </w:rPr>
        <w:t>2022年5月底</w:t>
      </w:r>
      <w:r>
        <w:rPr>
          <w:rFonts w:hint="eastAsia" w:ascii="宋体" w:hAnsi="宋体" w:cs="Times New Roman"/>
          <w:kern w:val="44"/>
          <w:szCs w:val="24"/>
        </w:rPr>
        <w:t>，</w:t>
      </w:r>
      <w:r>
        <w:rPr>
          <w:rFonts w:ascii="宋体" w:hAnsi="宋体" w:cs="Times New Roman"/>
          <w:kern w:val="44"/>
          <w:szCs w:val="24"/>
        </w:rPr>
        <w:t>仙游县批而未供土地面积365公顷＜500公顷。2020年和2021年</w:t>
      </w:r>
      <w:r>
        <w:rPr>
          <w:rFonts w:hint="eastAsia" w:ascii="宋体" w:hAnsi="宋体" w:cs="Times New Roman"/>
          <w:kern w:val="44"/>
          <w:szCs w:val="24"/>
        </w:rPr>
        <w:t>，</w:t>
      </w:r>
      <w:r>
        <w:rPr>
          <w:rFonts w:ascii="宋体" w:hAnsi="宋体" w:cs="Times New Roman"/>
          <w:kern w:val="44"/>
          <w:szCs w:val="24"/>
        </w:rPr>
        <w:t>仙游县批而未供土地处置率分别为22.06%和20.8%</w:t>
      </w:r>
      <w:r>
        <w:rPr>
          <w:rFonts w:hint="eastAsia" w:ascii="宋体" w:hAnsi="宋体" w:cs="Times New Roman"/>
          <w:kern w:val="44"/>
          <w:szCs w:val="24"/>
        </w:rPr>
        <w:t>，</w:t>
      </w:r>
      <w:r>
        <w:rPr>
          <w:rFonts w:ascii="宋体" w:hAnsi="宋体" w:cs="Times New Roman"/>
          <w:kern w:val="44"/>
          <w:szCs w:val="24"/>
        </w:rPr>
        <w:t xml:space="preserve">均已超过15%。 </w:t>
      </w:r>
    </w:p>
    <w:p>
      <w:pPr>
        <w:ind w:firstLine="480"/>
        <w:rPr>
          <w:rFonts w:ascii="宋体" w:hAnsi="宋体" w:cs="Times New Roman"/>
          <w:kern w:val="44"/>
          <w:szCs w:val="24"/>
        </w:rPr>
      </w:pPr>
      <w:r>
        <w:rPr>
          <w:rFonts w:ascii="宋体" w:hAnsi="宋体" w:cs="Times New Roman"/>
          <w:kern w:val="44"/>
          <w:szCs w:val="24"/>
        </w:rPr>
        <w:t>截至2022年5月底，仙游县闲置土地面积87.9921公顷＞50公顷。2020 年和2021年，仙游县闲置土地处置率分别为24.77%和34.62%，均已超过15%，符合《实施细则》的要求。</w:t>
      </w:r>
    </w:p>
    <w:p>
      <w:pPr>
        <w:pStyle w:val="5"/>
        <w:ind w:firstLineChars="83"/>
      </w:pPr>
      <w:bookmarkStart w:id="20" w:name="_Toc21262"/>
      <w:bookmarkStart w:id="21" w:name="_Toc67952589"/>
      <w:r>
        <w:rPr>
          <w:rFonts w:hint="eastAsia"/>
        </w:rPr>
        <w:t>（二）开发区</w:t>
      </w:r>
      <w:r>
        <w:t>土地利用效率情况</w:t>
      </w:r>
      <w:bookmarkEnd w:id="20"/>
      <w:bookmarkEnd w:id="21"/>
    </w:p>
    <w:p>
      <w:pPr>
        <w:ind w:firstLine="480"/>
        <w:rPr>
          <w:rFonts w:ascii="宋体" w:hAnsi="宋体" w:cs="Times New Roman"/>
          <w:kern w:val="44"/>
          <w:szCs w:val="24"/>
        </w:rPr>
      </w:pPr>
      <w:r>
        <w:rPr>
          <w:rFonts w:hint="eastAsia" w:ascii="宋体" w:hAnsi="宋体" w:cs="Times New Roman"/>
          <w:kern w:val="44"/>
          <w:szCs w:val="24"/>
        </w:rPr>
        <w:t>仙游县共有1家省级以上开发区，福建仙游经济开发区（省级）。仙游县域范围内参评开发区仅有福建仙游经济开发区。福建仙游经济开发区2018年土地集约利用评价排名第25，2019年排名第9，2020年排名第42；不属于连续三年排在全省后三名的情况，符合《实施细则》的要求。本方案位于福</w:t>
      </w:r>
      <w:r>
        <w:rPr>
          <w:rFonts w:ascii="宋体" w:hAnsi="宋体" w:cs="Times New Roman"/>
          <w:kern w:val="44"/>
          <w:szCs w:val="24"/>
        </w:rPr>
        <w:t>建仙游经济开发区（省级）内。</w:t>
      </w:r>
    </w:p>
    <w:p>
      <w:pPr>
        <w:pStyle w:val="5"/>
        <w:ind w:firstLine="198" w:firstLineChars="82"/>
      </w:pPr>
      <w:bookmarkStart w:id="22" w:name="_Toc67952590"/>
      <w:bookmarkStart w:id="23" w:name="_Toc2727"/>
      <w:r>
        <w:rPr>
          <w:rFonts w:hint="eastAsia"/>
        </w:rPr>
        <w:t>（三）已批准土地征收成片开发方案实施情况</w:t>
      </w:r>
      <w:bookmarkEnd w:id="22"/>
      <w:bookmarkEnd w:id="23"/>
    </w:p>
    <w:p>
      <w:pPr>
        <w:ind w:firstLine="480"/>
        <w:rPr>
          <w:rFonts w:ascii="宋体" w:hAnsi="宋体" w:cs="Times New Roman"/>
          <w:kern w:val="44"/>
          <w:szCs w:val="24"/>
        </w:rPr>
      </w:pPr>
      <w:bookmarkStart w:id="24" w:name="_Hlk99553759"/>
      <w:r>
        <w:rPr>
          <w:rFonts w:ascii="宋体" w:hAnsi="宋体" w:cs="Times New Roman"/>
          <w:kern w:val="44"/>
          <w:szCs w:val="24"/>
        </w:rPr>
        <w:t>2021年省人民政府共批复我县2个批次土地征收成片开发方案共5个，按年度计划合计应实施101.5030公顷，截止目前，已实施36.3115公顷,</w:t>
      </w:r>
      <w:r>
        <w:rPr>
          <w:rFonts w:hint="eastAsia" w:ascii="宋体" w:hAnsi="宋体" w:cs="Times New Roman"/>
          <w:kern w:val="44"/>
          <w:szCs w:val="24"/>
        </w:rPr>
        <w:t>仙游县不存在已批准实施的土地征收成片开发连续两年未按方案实施的情形</w:t>
      </w:r>
      <w:r>
        <w:rPr>
          <w:rFonts w:ascii="宋体" w:hAnsi="宋体" w:cs="Times New Roman"/>
          <w:kern w:val="44"/>
          <w:szCs w:val="24"/>
        </w:rPr>
        <w:t>,符合</w:t>
      </w:r>
      <w:r>
        <w:rPr>
          <w:rFonts w:hint="eastAsia" w:ascii="宋体" w:hAnsi="宋体" w:cs="Times New Roman"/>
          <w:kern w:val="44"/>
          <w:szCs w:val="24"/>
        </w:rPr>
        <w:t>自然资规〔</w:t>
      </w:r>
      <w:r>
        <w:rPr>
          <w:rFonts w:ascii="宋体" w:hAnsi="宋体" w:cs="Times New Roman"/>
          <w:kern w:val="44"/>
          <w:szCs w:val="24"/>
        </w:rPr>
        <w:t>2020〕</w:t>
      </w:r>
      <w:r>
        <w:rPr>
          <w:rFonts w:hint="eastAsia" w:ascii="宋体" w:hAnsi="宋体" w:cs="Times New Roman"/>
          <w:kern w:val="44"/>
          <w:szCs w:val="24"/>
        </w:rPr>
        <w:t>5号文规定。</w:t>
      </w:r>
    </w:p>
    <w:bookmarkEnd w:id="24"/>
    <w:p>
      <w:pPr>
        <w:pStyle w:val="4"/>
      </w:pPr>
      <w:bookmarkStart w:id="25" w:name="_Toc67952591"/>
      <w:bookmarkStart w:id="26" w:name="_Toc15821"/>
      <w:r>
        <w:t>三、基本情况</w:t>
      </w:r>
      <w:bookmarkEnd w:id="25"/>
      <w:bookmarkEnd w:id="26"/>
    </w:p>
    <w:p>
      <w:pPr>
        <w:pStyle w:val="5"/>
        <w:ind w:firstLine="198" w:firstLineChars="82"/>
      </w:pPr>
      <w:bookmarkStart w:id="27" w:name="_Toc67952592"/>
      <w:bookmarkStart w:id="28" w:name="_Toc6135"/>
      <w:r>
        <w:t>（一）</w:t>
      </w:r>
      <w:r>
        <w:rPr>
          <w:rFonts w:hint="eastAsia"/>
        </w:rPr>
        <w:t>成片开发</w:t>
      </w:r>
      <w:r>
        <w:t>位置、</w:t>
      </w:r>
      <w:r>
        <w:rPr>
          <w:rFonts w:hint="eastAsia"/>
        </w:rPr>
        <w:t>范围</w:t>
      </w:r>
      <w:r>
        <w:t>、</w:t>
      </w:r>
      <w:bookmarkEnd w:id="27"/>
      <w:r>
        <w:rPr>
          <w:rFonts w:hint="eastAsia"/>
        </w:rPr>
        <w:t>面积</w:t>
      </w:r>
      <w:bookmarkEnd w:id="28"/>
    </w:p>
    <w:p>
      <w:pPr>
        <w:ind w:firstLine="480"/>
        <w:rPr>
          <w:rFonts w:ascii="Times New Roman" w:hAnsi="Times New Roman" w:cs="Times New Roman"/>
        </w:rPr>
      </w:pPr>
      <w:r>
        <w:rPr>
          <w:rFonts w:hint="eastAsia" w:ascii="Times New Roman" w:hAnsi="Times New Roman" w:cs="Times New Roman"/>
        </w:rPr>
        <w:t>本方案涉及莆田市仙游县枫亭镇，共</w:t>
      </w:r>
      <w:r>
        <w:rPr>
          <w:rFonts w:ascii="Times New Roman" w:hAnsi="Times New Roman" w:cs="Times New Roman"/>
        </w:rPr>
        <w:t>1个乡镇</w:t>
      </w:r>
      <w:r>
        <w:rPr>
          <w:rFonts w:hint="eastAsia" w:ascii="Times New Roman" w:hAnsi="Times New Roman" w:cs="Times New Roman"/>
        </w:rPr>
        <w:t>2</w:t>
      </w:r>
      <w:r>
        <w:rPr>
          <w:rFonts w:ascii="Times New Roman" w:hAnsi="Times New Roman" w:cs="Times New Roman"/>
        </w:rPr>
        <w:t>个村；不涉及</w:t>
      </w:r>
      <w:r>
        <w:rPr>
          <w:rFonts w:hint="eastAsia" w:ascii="Times New Roman" w:hAnsi="Times New Roman" w:cs="Times New Roman"/>
        </w:rPr>
        <w:t>省级和</w:t>
      </w:r>
      <w:r>
        <w:rPr>
          <w:rFonts w:ascii="Times New Roman" w:hAnsi="Times New Roman" w:cs="Times New Roman"/>
        </w:rPr>
        <w:t>国家级开发区。</w:t>
      </w:r>
      <w:r>
        <w:rPr>
          <w:rFonts w:hint="eastAsia" w:ascii="Times New Roman" w:hAnsi="Times New Roman" w:cs="Times New Roman"/>
        </w:rPr>
        <w:t>开发片区东接东宅村，南至溪南村，西与山头村毗邻，北临居民点</w:t>
      </w:r>
      <w:r>
        <w:rPr>
          <w:rFonts w:hint="eastAsia" w:ascii="Times New Roman" w:hAnsi="Times New Roman" w:cs="Times New Roman"/>
          <w:color w:val="4472C4" w:themeColor="accent1"/>
          <w14:textFill>
            <w14:solidFill>
              <w14:schemeClr w14:val="accent1"/>
            </w14:solidFill>
          </w14:textFill>
        </w:rPr>
        <w:t>，</w:t>
      </w:r>
      <w:r>
        <w:rPr>
          <w:rFonts w:ascii="Times New Roman" w:hAnsi="Times New Roman" w:cs="Times New Roman"/>
        </w:rPr>
        <w:t>具体见附表1土地利用现状及权属统计表、附图1位置示意图。</w:t>
      </w:r>
    </w:p>
    <w:p>
      <w:pPr>
        <w:ind w:firstLine="480"/>
        <w:rPr>
          <w:rFonts w:ascii="Times New Roman" w:hAnsi="Times New Roman" w:cs="Times New Roman"/>
        </w:rPr>
      </w:pPr>
      <w:r>
        <w:rPr>
          <w:rFonts w:hint="eastAsia" w:ascii="Times New Roman" w:hAnsi="Times New Roman" w:cs="Times New Roman"/>
        </w:rPr>
        <w:t>根据实地勘测调查，本方案成片开发范围总面积</w:t>
      </w:r>
      <w:r>
        <w:rPr>
          <w:rFonts w:ascii="Times New Roman" w:hAnsi="Times New Roman" w:cs="Times New Roman"/>
        </w:rPr>
        <w:t>37.6874公顷，其中：农用地</w:t>
      </w:r>
      <w:r>
        <w:rPr>
          <w:rFonts w:hint="eastAsia" w:ascii="Times New Roman" w:hAnsi="Times New Roman" w:cs="Times New Roman"/>
        </w:rPr>
        <w:t>37.6849</w:t>
      </w:r>
      <w:r>
        <w:rPr>
          <w:rFonts w:ascii="Times New Roman" w:hAnsi="Times New Roman" w:cs="Times New Roman"/>
        </w:rPr>
        <w:t>公顷（其中：耕地</w:t>
      </w:r>
      <w:r>
        <w:rPr>
          <w:rFonts w:hint="eastAsia" w:ascii="Times New Roman" w:hAnsi="Times New Roman" w:cs="Times New Roman"/>
        </w:rPr>
        <w:t>36.1201</w:t>
      </w:r>
      <w:r>
        <w:rPr>
          <w:rFonts w:ascii="Times New Roman" w:hAnsi="Times New Roman" w:cs="Times New Roman"/>
        </w:rPr>
        <w:t>公顷），建设用地0.00</w:t>
      </w:r>
      <w:r>
        <w:rPr>
          <w:rFonts w:hint="eastAsia" w:ascii="Times New Roman" w:hAnsi="Times New Roman" w:cs="Times New Roman"/>
        </w:rPr>
        <w:t>25</w:t>
      </w:r>
      <w:r>
        <w:rPr>
          <w:rFonts w:ascii="Times New Roman" w:hAnsi="Times New Roman" w:cs="Times New Roman"/>
        </w:rPr>
        <w:t>公顷，未利用地0.0000公顷。具体见附表1土地利用现状及权属统计表。</w:t>
      </w:r>
      <w:bookmarkStart w:id="29" w:name="_Toc67952596"/>
    </w:p>
    <w:p>
      <w:pPr>
        <w:pStyle w:val="5"/>
        <w:numPr>
          <w:ilvl w:val="0"/>
          <w:numId w:val="1"/>
        </w:numPr>
        <w:ind w:firstLine="198" w:firstLineChars="82"/>
      </w:pPr>
      <w:bookmarkStart w:id="30" w:name="_Toc27225"/>
      <w:r>
        <w:rPr>
          <w:rFonts w:hint="eastAsia"/>
        </w:rPr>
        <w:t>现状基础设施条件</w:t>
      </w:r>
      <w:bookmarkEnd w:id="30"/>
    </w:p>
    <w:p>
      <w:pPr>
        <w:ind w:firstLine="480"/>
        <w:rPr>
          <w:rFonts w:ascii="宋体" w:hAnsi="宋体" w:cs="Times New Roman"/>
          <w:kern w:val="44"/>
          <w:szCs w:val="24"/>
        </w:rPr>
      </w:pPr>
      <w:r>
        <w:rPr>
          <w:rFonts w:hint="eastAsia" w:ascii="宋体" w:hAnsi="宋体" w:cs="Times New Roman"/>
          <w:kern w:val="44"/>
          <w:szCs w:val="24"/>
        </w:rPr>
        <w:t>1．交通条件</w:t>
      </w:r>
    </w:p>
    <w:p>
      <w:pPr>
        <w:ind w:firstLine="480"/>
        <w:rPr>
          <w:rFonts w:ascii="宋体" w:hAnsi="宋体" w:cs="Times New Roman"/>
          <w:kern w:val="44"/>
          <w:szCs w:val="24"/>
        </w:rPr>
      </w:pPr>
      <w:r>
        <w:rPr>
          <w:rFonts w:hint="eastAsia" w:ascii="宋体" w:hAnsi="宋体" w:cs="Times New Roman"/>
          <w:kern w:val="44"/>
          <w:szCs w:val="24"/>
        </w:rPr>
        <w:t>片区位于枫亭镇下社村南侧，片区内现状道路以村道为主，道路系统尚不完善。片区北侧枫秀西路即将建成通车，通车后将大大改善片区对外交通条件。</w:t>
      </w:r>
    </w:p>
    <w:p>
      <w:pPr>
        <w:ind w:firstLine="480"/>
        <w:rPr>
          <w:rFonts w:ascii="宋体" w:hAnsi="宋体" w:cs="Times New Roman"/>
          <w:kern w:val="44"/>
          <w:szCs w:val="24"/>
        </w:rPr>
      </w:pPr>
      <w:r>
        <w:rPr>
          <w:rFonts w:hint="eastAsia" w:ascii="宋体" w:hAnsi="宋体" w:cs="Times New Roman"/>
          <w:kern w:val="44"/>
          <w:szCs w:val="24"/>
        </w:rPr>
        <w:t>2．市政设施</w:t>
      </w:r>
    </w:p>
    <w:p>
      <w:pPr>
        <w:ind w:firstLine="480"/>
        <w:rPr>
          <w:rFonts w:ascii="宋体" w:hAnsi="宋体" w:cs="Times New Roman"/>
          <w:kern w:val="44"/>
          <w:szCs w:val="24"/>
        </w:rPr>
      </w:pPr>
      <w:r>
        <w:rPr>
          <w:rFonts w:hint="eastAsia" w:ascii="宋体" w:hAnsi="宋体" w:cs="Times New Roman"/>
          <w:kern w:val="44"/>
          <w:szCs w:val="24"/>
        </w:rPr>
        <w:t>片区内现状无电力、通信、燃气、供水管道，片区外部有为周边村庄服务的电力、通信线路及燃气、供水管道。待片区内路网建设完成后，市政管网沿内部道路敷设，排水采用雨污分流制，通信电缆采用通信排管，供水管网布置成环形状。</w:t>
      </w:r>
    </w:p>
    <w:p>
      <w:pPr>
        <w:ind w:firstLine="480"/>
        <w:rPr>
          <w:rFonts w:ascii="宋体" w:hAnsi="宋体" w:cs="Times New Roman"/>
          <w:kern w:val="44"/>
          <w:szCs w:val="24"/>
        </w:rPr>
      </w:pPr>
      <w:r>
        <w:rPr>
          <w:rFonts w:hint="eastAsia" w:ascii="宋体" w:hAnsi="宋体" w:cs="Times New Roman"/>
          <w:kern w:val="44"/>
          <w:szCs w:val="24"/>
        </w:rPr>
        <w:t>3．公共服务设施及公益事业配套条件</w:t>
      </w:r>
    </w:p>
    <w:p>
      <w:pPr>
        <w:ind w:firstLine="480"/>
        <w:rPr>
          <w:rFonts w:ascii="宋体" w:hAnsi="宋体" w:cs="Times New Roman"/>
          <w:kern w:val="44"/>
          <w:szCs w:val="24"/>
        </w:rPr>
      </w:pPr>
      <w:r>
        <w:rPr>
          <w:rFonts w:hint="eastAsia" w:ascii="宋体" w:hAnsi="宋体" w:cs="Times New Roman"/>
          <w:kern w:val="44"/>
          <w:szCs w:val="24"/>
        </w:rPr>
        <w:t>本方案周边有东宅小学、蔡襄中学、仙游农商银行等公共服务设施用地。</w:t>
      </w:r>
    </w:p>
    <w:p>
      <w:pPr>
        <w:ind w:firstLine="480"/>
        <w:rPr>
          <w:rFonts w:ascii="宋体" w:hAnsi="宋体" w:cs="Times New Roman"/>
          <w:kern w:val="44"/>
          <w:szCs w:val="24"/>
        </w:rPr>
      </w:pPr>
      <w:r>
        <w:rPr>
          <w:rFonts w:hint="eastAsia" w:ascii="宋体" w:hAnsi="宋体" w:cs="Times New Roman"/>
          <w:kern w:val="44"/>
          <w:szCs w:val="24"/>
        </w:rPr>
        <w:t>4．防水排涝现状</w:t>
      </w:r>
    </w:p>
    <w:p>
      <w:pPr>
        <w:ind w:firstLine="480"/>
        <w:rPr>
          <w:rFonts w:ascii="宋体" w:hAnsi="宋体" w:cs="Times New Roman"/>
          <w:kern w:val="44"/>
          <w:szCs w:val="24"/>
        </w:rPr>
      </w:pPr>
      <w:r>
        <w:rPr>
          <w:rFonts w:hint="eastAsia" w:ascii="宋体" w:hAnsi="宋体" w:cs="Times New Roman"/>
          <w:kern w:val="44"/>
          <w:szCs w:val="24"/>
        </w:rPr>
        <w:t>本片区地势北高南低，南侧为枫慈溪，片区内汇水可以快速排入枫慈溪，同时枫慈溪两岸已设置防洪堤，片区防水排涝条件好。</w:t>
      </w:r>
    </w:p>
    <w:p>
      <w:pPr>
        <w:pStyle w:val="5"/>
        <w:ind w:firstLine="198" w:firstLineChars="82"/>
      </w:pPr>
      <w:bookmarkStart w:id="31" w:name="_Toc23942"/>
      <w:r>
        <w:t>（</w:t>
      </w:r>
      <w:r>
        <w:rPr>
          <w:rFonts w:hint="eastAsia"/>
        </w:rPr>
        <w:t>三</w:t>
      </w:r>
      <w:r>
        <w:t>）实施周期</w:t>
      </w:r>
      <w:bookmarkEnd w:id="29"/>
      <w:bookmarkEnd w:id="31"/>
    </w:p>
    <w:p>
      <w:pPr>
        <w:ind w:firstLine="480"/>
        <w:rPr>
          <w:rFonts w:ascii="Times New Roman" w:hAnsi="Times New Roman" w:cs="Times New Roman"/>
        </w:rPr>
      </w:pPr>
      <w:r>
        <w:rPr>
          <w:rFonts w:ascii="Times New Roman" w:hAnsi="Times New Roman" w:cs="Times New Roman"/>
        </w:rPr>
        <w:t>综合考虑仙游县</w:t>
      </w:r>
      <w:r>
        <w:rPr>
          <w:rFonts w:hint="eastAsia" w:ascii="Times New Roman" w:hAnsi="Times New Roman" w:cs="Times New Roman"/>
        </w:rPr>
        <w:t>社会</w:t>
      </w:r>
      <w:r>
        <w:rPr>
          <w:rFonts w:ascii="Times New Roman" w:hAnsi="Times New Roman" w:cs="Times New Roman"/>
        </w:rPr>
        <w:t>经济发展</w:t>
      </w:r>
      <w:r>
        <w:rPr>
          <w:rFonts w:hint="eastAsia" w:ascii="Times New Roman" w:hAnsi="Times New Roman" w:cs="Times New Roman"/>
        </w:rPr>
        <w:t>状况</w:t>
      </w:r>
      <w:r>
        <w:rPr>
          <w:rFonts w:ascii="Times New Roman" w:hAnsi="Times New Roman" w:cs="Times New Roman"/>
        </w:rPr>
        <w:t>等因素，本方案实施周期为3年</w:t>
      </w:r>
      <w:r>
        <w:rPr>
          <w:rFonts w:hint="eastAsia" w:ascii="Times New Roman" w:hAnsi="Times New Roman" w:cs="Times New Roman"/>
        </w:rPr>
        <w:t>（202</w:t>
      </w:r>
      <w:r>
        <w:rPr>
          <w:rFonts w:ascii="Times New Roman" w:hAnsi="Times New Roman" w:cs="Times New Roman"/>
        </w:rPr>
        <w:t>2</w:t>
      </w:r>
      <w:r>
        <w:rPr>
          <w:rFonts w:hint="eastAsia" w:ascii="Times New Roman" w:hAnsi="Times New Roman" w:cs="Times New Roman"/>
        </w:rPr>
        <w:t>年至202</w:t>
      </w:r>
      <w:r>
        <w:rPr>
          <w:rFonts w:ascii="Times New Roman" w:hAnsi="Times New Roman" w:cs="Times New Roman"/>
        </w:rPr>
        <w:t>4</w:t>
      </w:r>
      <w:r>
        <w:rPr>
          <w:rFonts w:hint="eastAsia" w:ascii="Times New Roman" w:hAnsi="Times New Roman" w:cs="Times New Roman"/>
        </w:rPr>
        <w:t>年）。</w:t>
      </w:r>
    </w:p>
    <w:p>
      <w:pPr>
        <w:pStyle w:val="4"/>
        <w:rPr>
          <w:rFonts w:ascii="Times New Roman" w:hAnsi="Times New Roman" w:cs="Times New Roman"/>
        </w:rPr>
      </w:pPr>
      <w:bookmarkStart w:id="32" w:name="_Toc24114"/>
      <w:r>
        <w:rPr>
          <w:rFonts w:hint="eastAsia" w:ascii="Times New Roman" w:hAnsi="Times New Roman" w:cs="Times New Roman"/>
        </w:rPr>
        <w:t>四、必要性分析</w:t>
      </w:r>
      <w:bookmarkEnd w:id="32"/>
    </w:p>
    <w:p>
      <w:pPr>
        <w:pStyle w:val="5"/>
        <w:ind w:firstLine="198" w:firstLineChars="82"/>
      </w:pPr>
      <w:bookmarkStart w:id="33" w:name="_Toc18349"/>
      <w:bookmarkStart w:id="34" w:name="_Toc15164"/>
      <w:bookmarkStart w:id="35" w:name="_Toc16903"/>
      <w:r>
        <w:rPr>
          <w:rFonts w:hint="eastAsia"/>
        </w:rPr>
        <w:t>（一）</w:t>
      </w:r>
      <w:bookmarkEnd w:id="33"/>
      <w:r>
        <w:rPr>
          <w:rFonts w:hint="eastAsia"/>
        </w:rPr>
        <w:t>必要性分析</w:t>
      </w:r>
    </w:p>
    <w:p>
      <w:pPr>
        <w:ind w:firstLine="480"/>
      </w:pPr>
      <w:bookmarkStart w:id="36" w:name="_Hlk104314180"/>
      <w:r>
        <w:rPr>
          <w:rFonts w:hint="eastAsia"/>
        </w:rPr>
        <w:t>1</w:t>
      </w:r>
      <w:r>
        <w:t>.</w:t>
      </w:r>
      <w:r>
        <w:rPr>
          <w:rFonts w:hint="eastAsia"/>
        </w:rPr>
        <w:t>是仙游实现全方位高质量发展超越和“国家级经济开发区”建设的必然要求</w:t>
      </w:r>
    </w:p>
    <w:p>
      <w:pPr>
        <w:ind w:firstLine="480"/>
        <w:rPr>
          <w:rFonts w:ascii="宋体" w:hAnsi="宋体"/>
          <w:szCs w:val="28"/>
        </w:rPr>
      </w:pPr>
      <w:r>
        <w:rPr>
          <w:rFonts w:ascii="宋体" w:hAnsi="宋体"/>
          <w:szCs w:val="28"/>
        </w:rPr>
        <w:t>慈岳片区位于仙游县枫亭镇中西部，是“</w:t>
      </w:r>
      <w:r>
        <w:rPr>
          <w:rFonts w:hint="eastAsia" w:ascii="宋体" w:hAnsi="宋体"/>
          <w:szCs w:val="28"/>
        </w:rPr>
        <w:t>五大</w:t>
      </w:r>
      <w:r>
        <w:rPr>
          <w:rFonts w:ascii="宋体" w:hAnsi="宋体"/>
          <w:szCs w:val="28"/>
        </w:rPr>
        <w:t>片区”之一，是仙游县“强产业、兴城市”三年行动计划暨十四五规划重点改造区域。以本区优良的生态基底为基础，以产城融合为发展目标导向，结合中央提出的“生产空间集约高效、生活空间宜居适度、生态空间山清水秀”的政策背景，建设以高新产业及其他低污染产业为主导，高品质生态环境为特色，集生活公共服务为一体，充满活力的产城融合示范区，对仙游实现全方位高质量发展有重要意义。</w:t>
      </w:r>
    </w:p>
    <w:p>
      <w:pPr>
        <w:ind w:firstLine="480"/>
        <w:rPr>
          <w:rFonts w:ascii="宋体" w:hAnsi="宋体"/>
          <w:szCs w:val="28"/>
        </w:rPr>
      </w:pPr>
      <w:r>
        <w:rPr>
          <w:rFonts w:hint="eastAsia" w:ascii="宋体" w:hAnsi="宋体"/>
          <w:szCs w:val="28"/>
        </w:rPr>
        <w:t>慈岳片区二期的发展</w:t>
      </w:r>
      <w:r>
        <w:rPr>
          <w:rFonts w:ascii="宋体" w:hAnsi="宋体"/>
          <w:szCs w:val="28"/>
        </w:rPr>
        <w:t>，</w:t>
      </w:r>
      <w:r>
        <w:rPr>
          <w:rFonts w:hint="eastAsia" w:ascii="宋体" w:hAnsi="宋体"/>
          <w:szCs w:val="28"/>
        </w:rPr>
        <w:t>可以实现</w:t>
      </w:r>
      <w:r>
        <w:rPr>
          <w:rFonts w:ascii="宋体" w:hAnsi="宋体"/>
          <w:szCs w:val="28"/>
        </w:rPr>
        <w:t>生产、生活、生态三类空间的有机融合，实现“百姓富、生态美、产业优”，有利于推动仙游经济开发区升格为国家级经济开发区。</w:t>
      </w:r>
      <w:bookmarkEnd w:id="34"/>
    </w:p>
    <w:p>
      <w:pPr>
        <w:pStyle w:val="2"/>
        <w:ind w:left="0" w:leftChars="0" w:firstLine="480"/>
        <w:rPr>
          <w:rFonts w:ascii="宋体" w:hAnsi="宋体"/>
          <w:sz w:val="24"/>
          <w:szCs w:val="28"/>
        </w:rPr>
      </w:pPr>
      <w:r>
        <w:rPr>
          <w:rFonts w:hint="eastAsia" w:ascii="宋体" w:hAnsi="宋体"/>
          <w:sz w:val="24"/>
          <w:szCs w:val="28"/>
        </w:rPr>
        <w:t>2</w:t>
      </w:r>
      <w:r>
        <w:rPr>
          <w:rFonts w:ascii="宋体" w:hAnsi="宋体"/>
          <w:sz w:val="24"/>
          <w:szCs w:val="28"/>
        </w:rPr>
        <w:t>.</w:t>
      </w:r>
      <w:r>
        <w:rPr>
          <w:rFonts w:hint="eastAsia" w:ascii="宋体" w:hAnsi="宋体"/>
          <w:sz w:val="24"/>
          <w:szCs w:val="28"/>
        </w:rPr>
        <w:t>是提高土地利用效率、带动就业和提高人民生活水平的必然要求</w:t>
      </w:r>
    </w:p>
    <w:p>
      <w:pPr>
        <w:ind w:firstLine="480"/>
        <w:rPr>
          <w:rFonts w:ascii="宋体" w:hAnsi="宋体"/>
          <w:szCs w:val="28"/>
        </w:rPr>
      </w:pPr>
      <w:r>
        <w:rPr>
          <w:rFonts w:ascii="宋体" w:hAnsi="宋体"/>
          <w:szCs w:val="28"/>
        </w:rPr>
        <w:t>本片区的开发涉及</w:t>
      </w:r>
      <w:r>
        <w:rPr>
          <w:rFonts w:hint="eastAsia" w:ascii="宋体" w:hAnsi="宋体" w:cs="Times New Roman"/>
          <w:kern w:val="44"/>
          <w:szCs w:val="24"/>
        </w:rPr>
        <w:t>绿地与开敞空间用地、交通设施用地、工矿用地</w:t>
      </w:r>
      <w:r>
        <w:rPr>
          <w:rFonts w:ascii="宋体" w:hAnsi="宋体"/>
          <w:szCs w:val="28"/>
        </w:rPr>
        <w:t>等，对提高土地利用效率、带动就业、提高人民生活水平等方面具有积极作用。本片区作为仙游副中心、仙游重要道口经济区，大力发展工业，可带动当地经济社会的发展</w:t>
      </w:r>
      <w:r>
        <w:rPr>
          <w:rFonts w:hint="eastAsia" w:ascii="宋体" w:hAnsi="宋体"/>
          <w:szCs w:val="28"/>
        </w:rPr>
        <w:t>，同时</w:t>
      </w:r>
      <w:r>
        <w:rPr>
          <w:rFonts w:ascii="宋体" w:hAnsi="宋体"/>
          <w:szCs w:val="28"/>
        </w:rPr>
        <w:t>该区域可依托枫慈溪、沧溪形成的滨水生态景观休闲带，提升城市生态空间承载力</w:t>
      </w:r>
      <w:r>
        <w:rPr>
          <w:rFonts w:hint="eastAsia" w:ascii="宋体" w:hAnsi="宋体"/>
          <w:szCs w:val="28"/>
        </w:rPr>
        <w:t>，</w:t>
      </w:r>
      <w:r>
        <w:rPr>
          <w:rFonts w:ascii="宋体" w:hAnsi="宋体"/>
          <w:szCs w:val="28"/>
        </w:rPr>
        <w:t>改善人居环境</w:t>
      </w:r>
      <w:r>
        <w:rPr>
          <w:rFonts w:hint="eastAsia" w:ascii="宋体" w:hAnsi="宋体"/>
          <w:szCs w:val="28"/>
        </w:rPr>
        <w:t>。</w:t>
      </w:r>
      <w:r>
        <w:rPr>
          <w:rFonts w:ascii="宋体" w:hAnsi="宋体"/>
          <w:szCs w:val="28"/>
        </w:rPr>
        <w:t>该区域主要为工业片区，利用工厂企业配套建设，形成工业组团，加快产业结构调整力度，促进当地经济发展，缩小城乡差距，实现城乡基础设施一体化和公共服务均等化，实现城乡经济社会的协调发展</w:t>
      </w:r>
      <w:r>
        <w:rPr>
          <w:rFonts w:hint="eastAsia" w:ascii="宋体" w:hAnsi="宋体"/>
          <w:szCs w:val="28"/>
        </w:rPr>
        <w:t>。</w:t>
      </w:r>
      <w:bookmarkEnd w:id="35"/>
    </w:p>
    <w:p>
      <w:pPr>
        <w:ind w:firstLine="480"/>
        <w:rPr>
          <w:rFonts w:ascii="宋体" w:hAnsi="宋体"/>
          <w:szCs w:val="28"/>
        </w:rPr>
      </w:pPr>
      <w:r>
        <w:rPr>
          <w:rFonts w:hint="eastAsia" w:ascii="宋体" w:hAnsi="宋体"/>
          <w:szCs w:val="28"/>
        </w:rPr>
        <w:t>3</w:t>
      </w:r>
      <w:r>
        <w:rPr>
          <w:rFonts w:ascii="宋体" w:hAnsi="宋体"/>
          <w:szCs w:val="28"/>
        </w:rPr>
        <w:t>.</w:t>
      </w:r>
      <w:r>
        <w:rPr>
          <w:rFonts w:hint="eastAsia"/>
        </w:rPr>
        <w:t>符合莆田鞋产业集群转型升级、提升竞争力的发展战略</w:t>
      </w:r>
    </w:p>
    <w:p>
      <w:pPr>
        <w:ind w:firstLine="480"/>
        <w:rPr>
          <w:rFonts w:ascii="宋体" w:hAnsi="宋体"/>
          <w:szCs w:val="28"/>
        </w:rPr>
      </w:pPr>
      <w:r>
        <w:rPr>
          <w:rFonts w:hint="eastAsia" w:ascii="宋体" w:hAnsi="宋体"/>
          <w:szCs w:val="28"/>
        </w:rPr>
        <w:t>莆田市加大政府支持力度，推动鞋业产业加速换挡、不断提升产业竞争力。2015年以来，全市鞋企规模以上产值从589.8亿元提升到865.1亿元，年均增长13.6%；规上鞋企数从256家提升到311家，净增55家，产业规模不断壮大。目前，全市有制鞋及鞋材企业4200多家，年生产能力超过12亿双，直接和间接从业人员达50万人。鞋服已成为莆田市第一个超千亿的产业集群，占全市工业体量近三分之一，分别占全国、全省规上鞋业约10%、30%，成为全国重要鞋类生产基地。</w:t>
      </w:r>
    </w:p>
    <w:p>
      <w:pPr>
        <w:ind w:firstLine="480"/>
      </w:pPr>
      <w:r>
        <w:rPr>
          <w:rFonts w:hint="eastAsia" w:ascii="宋体" w:hAnsi="宋体"/>
          <w:szCs w:val="28"/>
        </w:rPr>
        <w:t>下一步，莆田市将组建鞋业创新服务中心，运用万物互联，链接各类功能平台，为鞋业提供创意设计、品牌孵化、智能制造等全链条一体化服务，推动鞋业产业基础高级化、产业链水平现代化。鞋业新材料作为鞋业的上游产业，其发展可以促进</w:t>
      </w:r>
      <w:r>
        <w:rPr>
          <w:rFonts w:hint="eastAsia"/>
        </w:rPr>
        <w:t>莆田鞋产业集群转型升级，提升产业竞争力，有助于推动莆田市鞋业制造的发展。</w:t>
      </w:r>
    </w:p>
    <w:bookmarkEnd w:id="36"/>
    <w:p>
      <w:pPr>
        <w:pStyle w:val="5"/>
        <w:ind w:firstLine="198" w:firstLineChars="82"/>
      </w:pPr>
      <w:r>
        <w:rPr>
          <w:rFonts w:hint="eastAsia"/>
        </w:rPr>
        <w:t>（二）科学合理性分析</w:t>
      </w:r>
    </w:p>
    <w:p>
      <w:pPr>
        <w:ind w:firstLine="480"/>
        <w:rPr>
          <w:rFonts w:ascii="宋体" w:hAnsi="宋体"/>
          <w:szCs w:val="28"/>
        </w:rPr>
      </w:pPr>
      <w:bookmarkStart w:id="37" w:name="_Hlk104314410"/>
      <w:r>
        <w:rPr>
          <w:rFonts w:ascii="宋体" w:hAnsi="宋体"/>
          <w:szCs w:val="28"/>
        </w:rPr>
        <w:t>1、选址</w:t>
      </w:r>
      <w:r>
        <w:rPr>
          <w:rFonts w:hint="eastAsia" w:ascii="宋体" w:hAnsi="宋体"/>
          <w:szCs w:val="28"/>
        </w:rPr>
        <w:t>科学</w:t>
      </w:r>
      <w:r>
        <w:rPr>
          <w:rFonts w:ascii="宋体" w:hAnsi="宋体"/>
          <w:szCs w:val="28"/>
        </w:rPr>
        <w:t>合理</w:t>
      </w:r>
    </w:p>
    <w:p>
      <w:pPr>
        <w:ind w:firstLine="480"/>
        <w:rPr>
          <w:rFonts w:ascii="宋体" w:hAnsi="宋体"/>
          <w:szCs w:val="28"/>
        </w:rPr>
      </w:pPr>
      <w:r>
        <w:rPr>
          <w:rFonts w:hint="eastAsia" w:ascii="宋体" w:hAnsi="宋体"/>
          <w:szCs w:val="28"/>
        </w:rPr>
        <w:t>慈岳二期项目</w:t>
      </w:r>
      <w:r>
        <w:rPr>
          <w:rFonts w:hint="eastAsia" w:ascii="Times New Roman" w:hAnsi="Times New Roman" w:cs="Times New Roman"/>
        </w:rPr>
        <w:t>仙游县枫亭镇，</w:t>
      </w:r>
      <w:r>
        <w:rPr>
          <w:rFonts w:hint="eastAsia" w:ascii="宋体" w:hAnsi="宋体"/>
          <w:szCs w:val="28"/>
        </w:rPr>
        <w:t>与已经获批的慈岳一期项目毗邻，枫秀西路从项目南侧穿过，项目区位交通条件优越，在区位上可以与慈岳一期项目产生良好互动，形成产业集群及规模效应。此外，方案内未占用永久基本农田保护区、生态保护红线及其他各类保护区。因此项目选址科学合理。</w:t>
      </w:r>
    </w:p>
    <w:p>
      <w:pPr>
        <w:ind w:firstLine="480"/>
        <w:rPr>
          <w:rFonts w:ascii="宋体" w:hAnsi="宋体"/>
          <w:szCs w:val="28"/>
        </w:rPr>
      </w:pPr>
      <w:r>
        <w:rPr>
          <w:rFonts w:hint="eastAsia" w:ascii="宋体" w:hAnsi="宋体"/>
          <w:szCs w:val="28"/>
        </w:rPr>
        <w:t>2、功能定位科学合理</w:t>
      </w:r>
    </w:p>
    <w:p>
      <w:pPr>
        <w:ind w:firstLine="480"/>
        <w:rPr>
          <w:rFonts w:ascii="宋体" w:hAnsi="宋体"/>
          <w:szCs w:val="28"/>
        </w:rPr>
      </w:pPr>
      <w:r>
        <w:rPr>
          <w:rFonts w:hint="eastAsia" w:ascii="宋体" w:hAnsi="宋体"/>
          <w:szCs w:val="28"/>
        </w:rPr>
        <w:t>慈岳二期方案位于仙游经济开发区的“五大片区”之一，该片区是仙游县“强产业、兴城市”三年行动计划暨十四五规划重点改造区域，规划以高新产业及其他低污染产业为主导，已经获批的慈岳一期项目即位于该片区。慈岳二期落地项目以高性能环保超临界发泡新材料产业化项目为主，符合该片区的功能定位。</w:t>
      </w:r>
    </w:p>
    <w:p>
      <w:pPr>
        <w:ind w:firstLine="480"/>
        <w:rPr>
          <w:rFonts w:ascii="宋体" w:hAnsi="宋体"/>
          <w:szCs w:val="28"/>
        </w:rPr>
      </w:pPr>
      <w:r>
        <w:rPr>
          <w:rFonts w:hint="eastAsia" w:ascii="宋体" w:hAnsi="宋体"/>
          <w:szCs w:val="28"/>
        </w:rPr>
        <w:t>3、用地规模、结构及实施安排合理性</w:t>
      </w:r>
    </w:p>
    <w:p>
      <w:pPr>
        <w:ind w:firstLine="480"/>
        <w:rPr>
          <w:rFonts w:ascii="宋体" w:hAnsi="宋体"/>
          <w:szCs w:val="28"/>
        </w:rPr>
      </w:pPr>
      <w:r>
        <w:rPr>
          <w:rFonts w:hint="eastAsia" w:ascii="宋体" w:hAnsi="宋体"/>
          <w:szCs w:val="28"/>
        </w:rPr>
        <w:t>本方案用地总规模37.6874公顷,符合闽自然资发〔2021</w:t>
      </w:r>
      <w:r>
        <w:rPr>
          <w:rFonts w:hint="eastAsia" w:ascii="Times New Roman" w:hAnsi="Times New Roman" w:cs="Times New Roman"/>
          <w:szCs w:val="24"/>
        </w:rPr>
        <w:t>〕</w:t>
      </w:r>
      <w:r>
        <w:rPr>
          <w:rFonts w:hint="eastAsia" w:ascii="宋体" w:hAnsi="宋体"/>
          <w:szCs w:val="28"/>
        </w:rPr>
        <w:t xml:space="preserve"> 3号文规定；方案配套建设有城镇道路用地等公益性用地面积15.1995公顷，占比40.33%，可满足片区居民在交通出行服务、慢行、休闲游憩等方面需求；方案计划在3年内实施完毕，符合片区项目规划实施进度安排。</w:t>
      </w:r>
    </w:p>
    <w:p>
      <w:pPr>
        <w:ind w:firstLine="480"/>
        <w:rPr>
          <w:rFonts w:ascii="宋体" w:hAnsi="宋体"/>
          <w:szCs w:val="28"/>
        </w:rPr>
      </w:pPr>
      <w:r>
        <w:rPr>
          <w:rFonts w:hint="eastAsia" w:ascii="宋体" w:hAnsi="宋体"/>
          <w:szCs w:val="28"/>
        </w:rPr>
        <w:t>综上，本方案在选址、功能定位及用地布局和实施安排上是合理的</w:t>
      </w:r>
      <w:bookmarkEnd w:id="37"/>
      <w:r>
        <w:rPr>
          <w:rFonts w:hint="eastAsia" w:ascii="宋体" w:hAnsi="宋体"/>
          <w:szCs w:val="28"/>
        </w:rPr>
        <w:t>。</w:t>
      </w:r>
    </w:p>
    <w:p>
      <w:pPr>
        <w:pStyle w:val="4"/>
      </w:pPr>
      <w:bookmarkStart w:id="38" w:name="_Toc67952601"/>
      <w:bookmarkStart w:id="39" w:name="_Toc19261"/>
      <w:r>
        <w:rPr>
          <w:rFonts w:hint="eastAsia"/>
        </w:rPr>
        <w:t>五、主要用途、实现功能及公益性用地比例</w:t>
      </w:r>
      <w:bookmarkEnd w:id="38"/>
      <w:bookmarkEnd w:id="39"/>
    </w:p>
    <w:p>
      <w:pPr>
        <w:pStyle w:val="5"/>
        <w:ind w:firstLine="198" w:firstLineChars="82"/>
      </w:pPr>
      <w:bookmarkStart w:id="40" w:name="_Toc67952602"/>
      <w:bookmarkStart w:id="41" w:name="_Toc12956"/>
      <w:r>
        <w:rPr>
          <w:rFonts w:hint="eastAsia"/>
        </w:rPr>
        <w:t>（一）主要用途、实现功能</w:t>
      </w:r>
      <w:bookmarkEnd w:id="40"/>
      <w:bookmarkEnd w:id="41"/>
    </w:p>
    <w:p>
      <w:pPr>
        <w:ind w:firstLine="480"/>
        <w:rPr>
          <w:rFonts w:ascii="宋体" w:hAnsi="宋体" w:cs="Times New Roman"/>
          <w:kern w:val="44"/>
          <w:szCs w:val="24"/>
        </w:rPr>
      </w:pPr>
      <w:r>
        <w:rPr>
          <w:rFonts w:hint="eastAsia" w:ascii="宋体" w:hAnsi="宋体" w:cs="Times New Roman"/>
          <w:kern w:val="44"/>
          <w:szCs w:val="24"/>
        </w:rPr>
        <w:t>根据《仙游县枫亭镇慈岳片区控制性详细规划》及转换用地标准及分类，开发片区用途主要为绿地与开敞空间用地、交通设施用地、工矿用地，具体见附表</w:t>
      </w:r>
      <w:r>
        <w:rPr>
          <w:rFonts w:ascii="宋体" w:hAnsi="宋体" w:cs="Times New Roman"/>
          <w:kern w:val="44"/>
          <w:szCs w:val="24"/>
        </w:rPr>
        <w:t>2-地块用途、面积及实现功能统计表。</w:t>
      </w:r>
    </w:p>
    <w:p>
      <w:pPr>
        <w:ind w:firstLine="480"/>
        <w:rPr>
          <w:rFonts w:ascii="宋体" w:hAnsi="宋体" w:cs="Times New Roman"/>
          <w:kern w:val="44"/>
          <w:szCs w:val="24"/>
        </w:rPr>
      </w:pPr>
      <w:r>
        <w:rPr>
          <w:rFonts w:hint="eastAsia" w:ascii="宋体" w:hAnsi="宋体" w:cs="Times New Roman"/>
          <w:kern w:val="44"/>
          <w:szCs w:val="24"/>
        </w:rPr>
        <w:t>1、绿地与开敞空间用地，包含防护绿地和公园绿地，总面积</w:t>
      </w:r>
      <w:r>
        <w:rPr>
          <w:rFonts w:ascii="宋体" w:hAnsi="宋体" w:cs="Times New Roman"/>
          <w:kern w:val="44"/>
          <w:szCs w:val="24"/>
        </w:rPr>
        <w:t>3.0674公顷。其中防护绿地1.8594公顷，具有卫生、隔离、安全、生态防护功能；公园绿地1.2080公顷，以游憩为主要功能，兼具生态、景观等功能。</w:t>
      </w:r>
    </w:p>
    <w:p>
      <w:pPr>
        <w:ind w:firstLine="480"/>
        <w:rPr>
          <w:rFonts w:ascii="宋体" w:hAnsi="宋体"/>
          <w:szCs w:val="28"/>
        </w:rPr>
      </w:pPr>
      <w:r>
        <w:rPr>
          <w:rFonts w:hint="eastAsia" w:ascii="宋体" w:hAnsi="宋体"/>
          <w:szCs w:val="28"/>
        </w:rPr>
        <w:t>2、交通运输用地，总面积12.1321公顷，包含城镇道路用地和其他交通设施用地。其中城镇道路用地8</w:t>
      </w:r>
      <w:r>
        <w:rPr>
          <w:rFonts w:ascii="宋体" w:hAnsi="宋体"/>
          <w:szCs w:val="28"/>
        </w:rPr>
        <w:t>.2808</w:t>
      </w:r>
      <w:r>
        <w:rPr>
          <w:rFonts w:hint="eastAsia" w:ascii="宋体" w:hAnsi="宋体"/>
          <w:szCs w:val="28"/>
        </w:rPr>
        <w:t>公顷，促进片区的内外交通优化，方便片区内的工人上下班通勤，完善了仙游县的城镇化建设基础骨架；其他交通设施用地3</w:t>
      </w:r>
      <w:r>
        <w:rPr>
          <w:rFonts w:ascii="宋体" w:hAnsi="宋体"/>
          <w:szCs w:val="28"/>
        </w:rPr>
        <w:t>.8513</w:t>
      </w:r>
      <w:r>
        <w:rPr>
          <w:rFonts w:hint="eastAsia" w:ascii="宋体" w:hAnsi="宋体"/>
          <w:szCs w:val="28"/>
        </w:rPr>
        <w:t>公顷，具有完善片区功能，为居民提供便利等功能。</w:t>
      </w:r>
    </w:p>
    <w:p>
      <w:pPr>
        <w:ind w:firstLine="480"/>
        <w:rPr>
          <w:rFonts w:ascii="宋体" w:hAnsi="宋体" w:cs="Times New Roman"/>
          <w:kern w:val="44"/>
          <w:szCs w:val="24"/>
        </w:rPr>
      </w:pPr>
      <w:r>
        <w:rPr>
          <w:rFonts w:ascii="宋体" w:hAnsi="宋体" w:cs="Times New Roman"/>
          <w:kern w:val="44"/>
          <w:szCs w:val="24"/>
        </w:rPr>
        <w:t>3</w:t>
      </w:r>
      <w:r>
        <w:rPr>
          <w:rFonts w:hint="eastAsia" w:ascii="宋体" w:hAnsi="宋体" w:cs="Times New Roman"/>
          <w:kern w:val="44"/>
          <w:szCs w:val="24"/>
        </w:rPr>
        <w:t>、工矿用地，总面积22.4879公顷，全部为工业用地。工业用地集中布置利产业和生产要素集聚，促进区域经济发展。</w:t>
      </w:r>
    </w:p>
    <w:p>
      <w:pPr>
        <w:pStyle w:val="5"/>
        <w:ind w:firstLine="198" w:firstLineChars="82"/>
      </w:pPr>
      <w:bookmarkStart w:id="42" w:name="_Toc67952603"/>
      <w:bookmarkStart w:id="43" w:name="_Toc28679"/>
      <w:r>
        <w:rPr>
          <w:rFonts w:hint="eastAsia"/>
        </w:rPr>
        <w:t>（二）公益性用地比例</w:t>
      </w:r>
      <w:bookmarkEnd w:id="42"/>
      <w:bookmarkEnd w:id="43"/>
    </w:p>
    <w:p>
      <w:pPr>
        <w:ind w:firstLine="480"/>
        <w:rPr>
          <w:rFonts w:ascii="宋体" w:hAnsi="宋体" w:cs="Times New Roman"/>
          <w:kern w:val="44"/>
          <w:szCs w:val="24"/>
        </w:rPr>
      </w:pPr>
      <w:r>
        <w:rPr>
          <w:rFonts w:hint="eastAsia" w:ascii="宋体" w:hAnsi="宋体" w:cs="Times New Roman"/>
          <w:kern w:val="44"/>
          <w:szCs w:val="24"/>
        </w:rPr>
        <w:t>绿地与开敞空间用地、交通设施用地等属于公益性用地，合计</w:t>
      </w:r>
      <w:r>
        <w:rPr>
          <w:rFonts w:ascii="宋体" w:hAnsi="宋体" w:cs="Times New Roman"/>
          <w:kern w:val="44"/>
          <w:szCs w:val="24"/>
        </w:rPr>
        <w:t>15.1995公顷，占用地总面积的40.33%。具体见附表2-地块用途、面积及实现功能统计表。</w:t>
      </w:r>
    </w:p>
    <w:p>
      <w:pPr>
        <w:ind w:firstLine="480"/>
        <w:rPr>
          <w:rFonts w:ascii="宋体" w:hAnsi="宋体" w:cs="Times New Roman"/>
          <w:szCs w:val="24"/>
        </w:rPr>
      </w:pPr>
      <w:r>
        <w:rPr>
          <w:rFonts w:hint="eastAsia" w:ascii="宋体" w:hAnsi="宋体" w:cs="Times New Roman"/>
          <w:kern w:val="44"/>
          <w:szCs w:val="24"/>
        </w:rPr>
        <w:t>符合自然资源部关于印发《土地征收成片开发标准（试行）》自然资〔</w:t>
      </w:r>
      <w:r>
        <w:rPr>
          <w:rFonts w:ascii="宋体" w:hAnsi="宋体" w:cs="Times New Roman"/>
          <w:kern w:val="44"/>
          <w:szCs w:val="24"/>
        </w:rPr>
        <w:t>2020〕5号的要求，一个完整的土地征收成片开发范围内基础设施、公共服务设施以及其他公益性用地比例不低于40%。</w:t>
      </w:r>
    </w:p>
    <w:p>
      <w:pPr>
        <w:pStyle w:val="4"/>
        <w:rPr>
          <w:rFonts w:ascii="Times New Roman" w:hAnsi="Times New Roman" w:cs="Times New Roman"/>
        </w:rPr>
      </w:pPr>
      <w:bookmarkStart w:id="44" w:name="_Toc67952604"/>
      <w:bookmarkStart w:id="45" w:name="_Toc28702"/>
      <w:r>
        <w:rPr>
          <w:rFonts w:ascii="Times New Roman" w:hAnsi="Times New Roman" w:cs="Times New Roman"/>
        </w:rPr>
        <w:t>六、</w:t>
      </w:r>
      <w:r>
        <w:rPr>
          <w:rFonts w:hint="eastAsia" w:ascii="Times New Roman" w:hAnsi="Times New Roman" w:cs="Times New Roman"/>
        </w:rPr>
        <w:t>拟建项目及</w:t>
      </w:r>
      <w:r>
        <w:rPr>
          <w:rFonts w:ascii="Times New Roman" w:hAnsi="Times New Roman" w:cs="Times New Roman"/>
        </w:rPr>
        <w:t>实施计划</w:t>
      </w:r>
      <w:bookmarkEnd w:id="44"/>
      <w:bookmarkEnd w:id="45"/>
    </w:p>
    <w:p>
      <w:pPr>
        <w:ind w:firstLine="480"/>
        <w:rPr>
          <w:rFonts w:ascii="宋体" w:hAnsi="宋体" w:cs="Times New Roman"/>
          <w:kern w:val="44"/>
          <w:szCs w:val="24"/>
        </w:rPr>
      </w:pPr>
      <w:r>
        <w:rPr>
          <w:rFonts w:hint="eastAsia" w:ascii="宋体" w:hAnsi="宋体" w:cs="Times New Roman"/>
          <w:kern w:val="44"/>
          <w:szCs w:val="24"/>
        </w:rPr>
        <w:t>本方案用地总面积</w:t>
      </w:r>
      <w:r>
        <w:rPr>
          <w:rFonts w:ascii="宋体" w:hAnsi="宋体" w:cs="Times New Roman"/>
          <w:kern w:val="44"/>
          <w:szCs w:val="24"/>
        </w:rPr>
        <w:t>37.6874</w:t>
      </w:r>
      <w:r>
        <w:rPr>
          <w:rFonts w:hint="eastAsia" w:ascii="宋体" w:hAnsi="宋体" w:cs="Times New Roman"/>
          <w:kern w:val="44"/>
          <w:szCs w:val="24"/>
        </w:rPr>
        <w:t>公顷，拟安排实施项目面积</w:t>
      </w:r>
      <w:r>
        <w:rPr>
          <w:rFonts w:ascii="宋体" w:hAnsi="宋体" w:cs="Times New Roman"/>
          <w:kern w:val="44"/>
          <w:szCs w:val="24"/>
        </w:rPr>
        <w:t>37.6874</w:t>
      </w:r>
      <w:r>
        <w:rPr>
          <w:rFonts w:hint="eastAsia" w:ascii="宋体" w:hAnsi="宋体" w:cs="Times New Roman"/>
          <w:kern w:val="44"/>
          <w:szCs w:val="24"/>
        </w:rPr>
        <w:t>公顷，</w:t>
      </w:r>
      <w:r>
        <w:rPr>
          <w:rFonts w:ascii="宋体" w:hAnsi="宋体" w:cs="Times New Roman"/>
          <w:kern w:val="44"/>
          <w:szCs w:val="24"/>
        </w:rPr>
        <w:t>计划实施周期为2022年-2024年，3年内实施完毕</w:t>
      </w:r>
      <w:r>
        <w:rPr>
          <w:rFonts w:hint="eastAsia" w:ascii="宋体" w:hAnsi="宋体" w:cs="Times New Roman"/>
          <w:kern w:val="44"/>
          <w:szCs w:val="24"/>
        </w:rPr>
        <w:t>。</w:t>
      </w:r>
      <w:r>
        <w:rPr>
          <w:rFonts w:ascii="宋体" w:hAnsi="宋体" w:cs="Times New Roman"/>
          <w:kern w:val="44"/>
          <w:szCs w:val="24"/>
        </w:rPr>
        <w:t>其中：2022年实施面积</w:t>
      </w:r>
      <w:r>
        <w:rPr>
          <w:rFonts w:hint="eastAsia" w:ascii="宋体" w:hAnsi="宋体" w:cs="Times New Roman"/>
          <w:kern w:val="44"/>
          <w:szCs w:val="24"/>
        </w:rPr>
        <w:t>11.4868</w:t>
      </w:r>
      <w:r>
        <w:rPr>
          <w:rFonts w:ascii="宋体" w:hAnsi="宋体" w:cs="Times New Roman"/>
          <w:kern w:val="44"/>
          <w:szCs w:val="24"/>
        </w:rPr>
        <w:t>公顷、完成比例</w:t>
      </w:r>
      <w:r>
        <w:rPr>
          <w:rFonts w:hint="eastAsia" w:ascii="宋体" w:hAnsi="宋体" w:cs="Times New Roman"/>
          <w:kern w:val="44"/>
          <w:szCs w:val="24"/>
        </w:rPr>
        <w:t>30.48</w:t>
      </w:r>
      <w:r>
        <w:rPr>
          <w:rFonts w:ascii="宋体" w:hAnsi="宋体" w:cs="Times New Roman"/>
          <w:kern w:val="44"/>
          <w:szCs w:val="24"/>
        </w:rPr>
        <w:t>%；2023年实施面积</w:t>
      </w:r>
      <w:r>
        <w:rPr>
          <w:rFonts w:hint="eastAsia" w:ascii="宋体" w:hAnsi="宋体" w:cs="Times New Roman"/>
          <w:kern w:val="44"/>
          <w:szCs w:val="24"/>
        </w:rPr>
        <w:t>11.3482</w:t>
      </w:r>
      <w:r>
        <w:rPr>
          <w:rFonts w:ascii="宋体" w:hAnsi="宋体" w:cs="Times New Roman"/>
          <w:kern w:val="44"/>
          <w:szCs w:val="24"/>
        </w:rPr>
        <w:t>公顷、完成比例</w:t>
      </w:r>
      <w:r>
        <w:rPr>
          <w:rFonts w:hint="eastAsia" w:ascii="宋体" w:hAnsi="宋体" w:cs="Times New Roman"/>
          <w:kern w:val="44"/>
          <w:szCs w:val="24"/>
        </w:rPr>
        <w:t>30.11</w:t>
      </w:r>
      <w:r>
        <w:rPr>
          <w:rFonts w:ascii="宋体" w:hAnsi="宋体" w:cs="Times New Roman"/>
          <w:kern w:val="44"/>
          <w:szCs w:val="24"/>
        </w:rPr>
        <w:t>%；2024年实施面积</w:t>
      </w:r>
      <w:r>
        <w:rPr>
          <w:rFonts w:hint="eastAsia" w:ascii="宋体" w:hAnsi="宋体" w:cs="Times New Roman"/>
          <w:kern w:val="44"/>
          <w:szCs w:val="24"/>
        </w:rPr>
        <w:t>14.8524</w:t>
      </w:r>
      <w:r>
        <w:rPr>
          <w:rFonts w:ascii="宋体" w:hAnsi="宋体" w:cs="Times New Roman"/>
          <w:kern w:val="44"/>
          <w:szCs w:val="24"/>
        </w:rPr>
        <w:t>公顷、完成比例</w:t>
      </w:r>
      <w:r>
        <w:rPr>
          <w:rFonts w:hint="eastAsia" w:ascii="宋体" w:hAnsi="宋体" w:cs="Times New Roman"/>
          <w:kern w:val="44"/>
          <w:szCs w:val="24"/>
        </w:rPr>
        <w:t>39.41</w:t>
      </w:r>
      <w:r>
        <w:rPr>
          <w:rFonts w:ascii="宋体" w:hAnsi="宋体" w:cs="Times New Roman"/>
          <w:kern w:val="44"/>
          <w:szCs w:val="24"/>
        </w:rPr>
        <w:t>%。具体见附表3拟建项目统计表。</w:t>
      </w:r>
    </w:p>
    <w:p>
      <w:pPr>
        <w:pStyle w:val="4"/>
        <w:rPr>
          <w:rFonts w:ascii="Times New Roman" w:hAnsi="Times New Roman" w:cs="Times New Roman"/>
        </w:rPr>
      </w:pPr>
      <w:bookmarkStart w:id="46" w:name="_Toc67952605"/>
      <w:bookmarkStart w:id="47" w:name="_Toc19971"/>
      <w:r>
        <w:rPr>
          <w:rFonts w:hint="eastAsia"/>
        </w:rPr>
        <w:t>七、</w:t>
      </w:r>
      <w:r>
        <w:rPr>
          <w:rFonts w:hint="eastAsia" w:ascii="Times New Roman" w:hAnsi="Times New Roman" w:cs="Times New Roman"/>
        </w:rPr>
        <w:t>合规性分析</w:t>
      </w:r>
      <w:bookmarkEnd w:id="46"/>
      <w:bookmarkEnd w:id="47"/>
    </w:p>
    <w:p>
      <w:pPr>
        <w:pStyle w:val="5"/>
        <w:ind w:firstLine="198" w:firstLineChars="82"/>
      </w:pPr>
      <w:bookmarkStart w:id="48" w:name="_Toc17484"/>
      <w:r>
        <w:rPr>
          <w:rFonts w:hint="eastAsia"/>
        </w:rPr>
        <w:t>（一）国土空间规划</w:t>
      </w:r>
      <w:bookmarkEnd w:id="48"/>
    </w:p>
    <w:p>
      <w:pPr>
        <w:ind w:firstLine="480"/>
        <w:rPr>
          <w:rFonts w:ascii="宋体" w:hAnsi="宋体" w:cs="Times New Roman"/>
          <w:kern w:val="44"/>
          <w:szCs w:val="24"/>
        </w:rPr>
      </w:pPr>
      <w:r>
        <w:rPr>
          <w:rFonts w:hint="eastAsia" w:ascii="宋体" w:hAnsi="宋体" w:cs="Times New Roman"/>
          <w:kern w:val="44"/>
          <w:szCs w:val="24"/>
        </w:rPr>
        <w:t>目前，仙游县国土空间规划正在编制中。通过对接《仙游县土地利用总体规划（2006-2020年）》，成片开发范围位于土地利用总体规划确定的允许建设区和有条件建设区内,符合要求。</w:t>
      </w:r>
    </w:p>
    <w:p>
      <w:pPr>
        <w:ind w:firstLine="480"/>
        <w:rPr>
          <w:rFonts w:ascii="宋体" w:hAnsi="宋体" w:cs="Times New Roman"/>
          <w:kern w:val="44"/>
          <w:szCs w:val="24"/>
        </w:rPr>
      </w:pPr>
      <w:r>
        <w:rPr>
          <w:rFonts w:hint="eastAsia" w:ascii="宋体" w:hAnsi="宋体" w:cs="Times New Roman"/>
          <w:kern w:val="44"/>
          <w:szCs w:val="24"/>
        </w:rPr>
        <w:t>仙游县人民政府承诺该成片开发方案获批后，将把土地征收成片开发范围纳入国土空间规划确定的城镇开发边界内的集中建设区。国土空间规划批准实施后，成片开发范围将位于国土空间规划确定的城镇开发边界内的集中建设区，并符合规划管控要求。</w:t>
      </w:r>
    </w:p>
    <w:p>
      <w:pPr>
        <w:pStyle w:val="5"/>
        <w:ind w:firstLine="198" w:firstLineChars="82"/>
      </w:pPr>
      <w:r>
        <w:rPr>
          <w:rFonts w:hint="eastAsia"/>
        </w:rPr>
        <w:t xml:space="preserve"> </w:t>
      </w:r>
      <w:bookmarkStart w:id="49" w:name="_Toc29238"/>
      <w:r>
        <w:rPr>
          <w:rFonts w:hint="eastAsia"/>
        </w:rPr>
        <w:t>（二）国民经济和社会发展规划、年度计划</w:t>
      </w:r>
      <w:bookmarkEnd w:id="49"/>
    </w:p>
    <w:p>
      <w:pPr>
        <w:ind w:firstLine="480"/>
        <w:rPr>
          <w:rFonts w:ascii="宋体" w:hAnsi="宋体" w:cs="Times New Roman"/>
          <w:kern w:val="44"/>
          <w:szCs w:val="24"/>
        </w:rPr>
      </w:pPr>
      <w:r>
        <w:rPr>
          <w:rFonts w:hint="eastAsia" w:ascii="宋体" w:hAnsi="宋体" w:cs="Times New Roman"/>
          <w:kern w:val="44"/>
          <w:szCs w:val="24"/>
        </w:rPr>
        <w:t>《仙游县国民经济和社会发展第十四个五年规划和二〇三五年远景目标纲要》指出重点推动五大片区联动发展，明晰各片区功能定位和规划引领，突出抱团发展、有序建设、集约开发。慈岳片区位于城乡空间发展方向的“西进”片区，规划通过枫秀西路建设，打开慈岳片区广阔腹地，建设产业新平台，打造枫亭产城融合示范区，加快建成“以产促城、以城兴产”的产城融合示范区，建设以高新产业及其他低污染产业为主导，高品质生态环境为特色，集生活公共服务为一体，充满活力的产城融合示范区。</w:t>
      </w:r>
    </w:p>
    <w:p>
      <w:pPr>
        <w:ind w:firstLine="480"/>
        <w:rPr>
          <w:rFonts w:ascii="宋体" w:hAnsi="宋体" w:cs="Times New Roman"/>
          <w:kern w:val="44"/>
          <w:szCs w:val="24"/>
        </w:rPr>
      </w:pPr>
      <w:r>
        <w:rPr>
          <w:rFonts w:hint="eastAsia" w:ascii="宋体" w:hAnsi="宋体" w:cs="Times New Roman"/>
          <w:kern w:val="44"/>
          <w:szCs w:val="24"/>
        </w:rPr>
        <w:t>《</w:t>
      </w:r>
      <w:r>
        <w:rPr>
          <w:rFonts w:ascii="宋体" w:hAnsi="宋体" w:cs="Times New Roman"/>
          <w:kern w:val="44"/>
          <w:szCs w:val="24"/>
        </w:rPr>
        <w:t>2021年国民经济和社会发展计划》提出坚定不移兴城市、增内涵，建设山水文化名城提升城市品位。围绕创建国家森林城市、省级文明县城，推进城市“东拓南进西扩北兴中修”发展战略，打造宜居宜商宜业的现代化山水文化名城。加快国土空间规划编制，优化慈岳片区规划，注重规划区与其他周边产业片区的互动，积极发展自身特色产业，促进产城融合发展，同时注重区域交通、公共服务设施配套、基础设施建设的整体协调，实现整体发展，互动互赢的良性发展道路。</w:t>
      </w:r>
    </w:p>
    <w:p>
      <w:pPr>
        <w:ind w:firstLine="480"/>
        <w:rPr>
          <w:rFonts w:ascii="宋体" w:hAnsi="宋体" w:cs="Times New Roman"/>
          <w:kern w:val="44"/>
          <w:szCs w:val="24"/>
        </w:rPr>
      </w:pPr>
      <w:r>
        <w:rPr>
          <w:rFonts w:ascii="宋体" w:hAnsi="宋体" w:cs="Times New Roman"/>
          <w:kern w:val="44"/>
          <w:szCs w:val="24"/>
        </w:rPr>
        <w:t>以“</w:t>
      </w:r>
      <w:r>
        <w:rPr>
          <w:rFonts w:hint="eastAsia" w:ascii="宋体" w:hAnsi="宋体" w:cs="Times New Roman"/>
          <w:kern w:val="44"/>
          <w:szCs w:val="24"/>
        </w:rPr>
        <w:t>五</w:t>
      </w:r>
      <w:r>
        <w:rPr>
          <w:rFonts w:ascii="宋体" w:hAnsi="宋体" w:cs="Times New Roman"/>
          <w:kern w:val="44"/>
          <w:szCs w:val="24"/>
        </w:rPr>
        <w:t>大片区”改造为引领，稳步推动玉田、西城等区域集中连片、组团开发。全年竣工商品房75万平方米。实施10个老旧小区</w:t>
      </w:r>
      <w:r>
        <w:rPr>
          <w:rFonts w:hint="eastAsia" w:ascii="宋体" w:hAnsi="宋体" w:cs="Times New Roman"/>
          <w:kern w:val="44"/>
          <w:szCs w:val="24"/>
        </w:rPr>
        <w:t>改造。新增停车泊位</w:t>
      </w:r>
      <w:r>
        <w:rPr>
          <w:rFonts w:ascii="宋体" w:hAnsi="宋体" w:cs="Times New Roman"/>
          <w:kern w:val="44"/>
          <w:szCs w:val="24"/>
        </w:rPr>
        <w:t>800 个。加密、延伸、优化城区公交线路。实施城市更新行动，加快海绵城市建设，完善城市供水、供气、排污、防洪排涝等设施。加快智慧城市建设，加强商住小区、安置房物业管理，深化城区保洁“1+N”模式，提升城市长效管理水平。方案已纳入国民经济和社会发展计划</w:t>
      </w:r>
      <w:r>
        <w:rPr>
          <w:rFonts w:hint="eastAsia" w:ascii="宋体" w:hAnsi="宋体" w:cs="Times New Roman"/>
          <w:kern w:val="44"/>
          <w:szCs w:val="24"/>
        </w:rPr>
        <w:t>。</w:t>
      </w:r>
    </w:p>
    <w:p>
      <w:pPr>
        <w:pStyle w:val="5"/>
        <w:ind w:firstLine="198" w:firstLineChars="82"/>
      </w:pPr>
      <w:bookmarkStart w:id="50" w:name="_Toc13333"/>
      <w:r>
        <w:rPr>
          <w:rFonts w:hint="eastAsia"/>
        </w:rPr>
        <w:t>（三）占用永久基本农田和其他法律法规规定不允许占用或开发的</w:t>
      </w:r>
      <w:bookmarkEnd w:id="50"/>
    </w:p>
    <w:p>
      <w:pPr>
        <w:ind w:firstLine="480"/>
        <w:rPr>
          <w:rFonts w:ascii="宋体" w:hAnsi="宋体" w:cs="Times New Roman"/>
          <w:kern w:val="44"/>
          <w:szCs w:val="24"/>
        </w:rPr>
      </w:pPr>
      <w:r>
        <w:rPr>
          <w:rFonts w:hint="eastAsia" w:ascii="宋体" w:hAnsi="宋体" w:cs="Times New Roman"/>
          <w:kern w:val="44"/>
          <w:szCs w:val="24"/>
        </w:rPr>
        <w:t>本方案未占用永久基本农田，不涉及自然保护区、森林公园、湿地公园、重要湿地、风景名胜区、饮用水源保护区、海岸线、生态红线等其他法律法规规定不允许占用或开发的区域。</w:t>
      </w:r>
    </w:p>
    <w:p>
      <w:pPr>
        <w:pStyle w:val="5"/>
        <w:ind w:firstLine="198" w:firstLineChars="82"/>
      </w:pPr>
      <w:bookmarkStart w:id="51" w:name="_Toc20949"/>
      <w:r>
        <w:rPr>
          <w:rFonts w:hint="eastAsia"/>
        </w:rPr>
        <w:t>（四）生态保护红线、生态公益林符合情况</w:t>
      </w:r>
      <w:bookmarkEnd w:id="51"/>
    </w:p>
    <w:p>
      <w:pPr>
        <w:ind w:firstLine="480"/>
        <w:rPr>
          <w:rFonts w:ascii="宋体" w:hAnsi="宋体" w:cs="Times New Roman"/>
          <w:kern w:val="44"/>
          <w:szCs w:val="24"/>
        </w:rPr>
      </w:pPr>
      <w:r>
        <w:rPr>
          <w:rFonts w:hint="eastAsia" w:ascii="宋体" w:hAnsi="宋体" w:cs="Times New Roman"/>
          <w:kern w:val="44"/>
          <w:szCs w:val="24"/>
        </w:rPr>
        <w:t>方案范围内不涉及生态保护红线和生态公益林，符合《生态保护红线划定方案》。</w:t>
      </w:r>
    </w:p>
    <w:p>
      <w:pPr>
        <w:pStyle w:val="5"/>
        <w:ind w:firstLine="198" w:firstLineChars="82"/>
      </w:pPr>
      <w:bookmarkStart w:id="52" w:name="_Toc15341"/>
      <w:r>
        <w:rPr>
          <w:rFonts w:hint="eastAsia"/>
        </w:rPr>
        <w:t>（五）饮用水源保护区符合情况</w:t>
      </w:r>
      <w:bookmarkEnd w:id="52"/>
    </w:p>
    <w:p>
      <w:pPr>
        <w:ind w:firstLine="480"/>
        <w:rPr>
          <w:rFonts w:ascii="宋体" w:hAnsi="宋体" w:cs="Times New Roman"/>
          <w:kern w:val="44"/>
          <w:szCs w:val="24"/>
        </w:rPr>
      </w:pPr>
      <w:r>
        <w:rPr>
          <w:rFonts w:hint="eastAsia" w:ascii="宋体" w:hAnsi="宋体" w:cs="Times New Roman"/>
          <w:kern w:val="44"/>
          <w:szCs w:val="24"/>
        </w:rPr>
        <w:t>方案范围内不涉及饮用水源保护区，符合水源保护条例。</w:t>
      </w:r>
    </w:p>
    <w:p>
      <w:pPr>
        <w:pStyle w:val="5"/>
        <w:ind w:firstLine="198" w:firstLineChars="82"/>
      </w:pPr>
      <w:bookmarkStart w:id="53" w:name="_Toc11080"/>
      <w:r>
        <w:rPr>
          <w:rFonts w:hint="eastAsia"/>
        </w:rPr>
        <w:t>（六）</w:t>
      </w:r>
      <w:bookmarkEnd w:id="53"/>
      <w:bookmarkStart w:id="54" w:name="_Hlk99551848"/>
      <w:bookmarkStart w:id="55" w:name="_Hlk99553839"/>
      <w:r>
        <w:rPr>
          <w:rFonts w:hint="eastAsia"/>
        </w:rPr>
        <w:t>与历史文化名城名镇名村传统村落和历史建筑保护工作的衔接</w:t>
      </w:r>
      <w:bookmarkEnd w:id="54"/>
    </w:p>
    <w:p>
      <w:pPr>
        <w:ind w:firstLine="480"/>
        <w:rPr>
          <w:rFonts w:ascii="宋体" w:hAnsi="宋体" w:cs="Times New Roman"/>
          <w:kern w:val="44"/>
          <w:szCs w:val="24"/>
        </w:rPr>
      </w:pPr>
      <w:r>
        <w:rPr>
          <w:rFonts w:hint="eastAsia" w:ascii="宋体" w:hAnsi="宋体" w:cs="Times New Roman"/>
          <w:kern w:val="44"/>
          <w:szCs w:val="24"/>
        </w:rPr>
        <w:t>本片区范围内不涉及名城名镇名村、传统村落和历史建筑保护</w:t>
      </w:r>
      <w:r>
        <w:rPr>
          <w:rFonts w:ascii="宋体" w:hAnsi="宋体" w:cs="Times New Roman"/>
          <w:kern w:val="44"/>
          <w:szCs w:val="24"/>
        </w:rPr>
        <w:t>,不涉及国保、省保、县保等保护单位及其建设控制地带和一般文物</w:t>
      </w:r>
      <w:r>
        <w:rPr>
          <w:rFonts w:hint="eastAsia" w:ascii="宋体" w:hAnsi="宋体" w:cs="Times New Roman"/>
          <w:kern w:val="44"/>
          <w:szCs w:val="24"/>
        </w:rPr>
        <w:t>，不涉及5</w:t>
      </w:r>
      <w:r>
        <w:rPr>
          <w:rFonts w:ascii="宋体" w:hAnsi="宋体" w:cs="Times New Roman"/>
          <w:kern w:val="44"/>
          <w:szCs w:val="24"/>
        </w:rPr>
        <w:t>0</w:t>
      </w:r>
      <w:r>
        <w:rPr>
          <w:rFonts w:hint="eastAsia" w:ascii="宋体" w:hAnsi="宋体" w:cs="Times New Roman"/>
          <w:kern w:val="44"/>
          <w:szCs w:val="24"/>
        </w:rPr>
        <w:t>年以上建筑。</w:t>
      </w:r>
    </w:p>
    <w:bookmarkEnd w:id="55"/>
    <w:p>
      <w:pPr>
        <w:ind w:firstLine="480"/>
        <w:rPr>
          <w:rFonts w:ascii="宋体" w:hAnsi="宋体" w:cs="Times New Roman"/>
          <w:kern w:val="44"/>
          <w:szCs w:val="24"/>
        </w:rPr>
      </w:pPr>
      <w:r>
        <w:rPr>
          <w:rFonts w:hint="eastAsia" w:ascii="宋体" w:hAnsi="宋体" w:cs="Times New Roman"/>
          <w:kern w:val="44"/>
          <w:szCs w:val="24"/>
        </w:rPr>
        <w:t>综上所述，仙游县枫亭镇慈岳片区土地征收成片开发方案属于《土地征收成片开发标准（试行）》中批准土地征收成片开发方案的范围。</w:t>
      </w:r>
    </w:p>
    <w:p>
      <w:pPr>
        <w:pStyle w:val="4"/>
        <w:rPr>
          <w:rFonts w:ascii="Times New Roman" w:hAnsi="Times New Roman" w:cs="Times New Roman"/>
        </w:rPr>
      </w:pPr>
      <w:bookmarkStart w:id="56" w:name="_Toc67952609"/>
      <w:bookmarkStart w:id="57" w:name="_Toc11587"/>
      <w:r>
        <w:rPr>
          <w:rFonts w:ascii="Times New Roman" w:hAnsi="Times New Roman" w:cs="Times New Roman"/>
        </w:rPr>
        <w:t>八、效益评估</w:t>
      </w:r>
      <w:bookmarkEnd w:id="56"/>
      <w:bookmarkEnd w:id="57"/>
    </w:p>
    <w:p>
      <w:pPr>
        <w:pStyle w:val="5"/>
        <w:ind w:firstLine="198" w:firstLineChars="82"/>
      </w:pPr>
      <w:bookmarkStart w:id="58" w:name="_Toc27741"/>
      <w:bookmarkStart w:id="59" w:name="_Toc67952610"/>
      <w:r>
        <w:rPr>
          <w:rFonts w:hint="eastAsia"/>
        </w:rPr>
        <w:t>（一）土地利用效益</w:t>
      </w:r>
      <w:bookmarkEnd w:id="58"/>
    </w:p>
    <w:p>
      <w:pPr>
        <w:ind w:firstLine="480"/>
        <w:rPr>
          <w:rFonts w:ascii="宋体" w:hAnsi="宋体" w:cs="Times New Roman"/>
          <w:kern w:val="44"/>
          <w:szCs w:val="24"/>
        </w:rPr>
      </w:pPr>
      <w:r>
        <w:rPr>
          <w:rFonts w:hint="eastAsia" w:ascii="宋体" w:hAnsi="宋体" w:cs="Times New Roman"/>
          <w:kern w:val="44"/>
          <w:szCs w:val="24"/>
        </w:rPr>
        <w:t>本方案通过合理安排用地规模、结构和布局，优化土地利用空间格局，因地制宜配置用地，使得枫亭镇土地节约集约水平得到提高，土地价值更加显化，现有用地的利用效益得以提高。本方案占地面积</w:t>
      </w:r>
      <w:r>
        <w:rPr>
          <w:rFonts w:ascii="宋体" w:hAnsi="宋体" w:cs="Times New Roman"/>
          <w:kern w:val="44"/>
          <w:szCs w:val="24"/>
        </w:rPr>
        <w:t>37.6874公顷，工业用地容积率不低于1.1，建筑密度不低于45%，均符合相关规定。</w:t>
      </w:r>
    </w:p>
    <w:p>
      <w:pPr>
        <w:pStyle w:val="5"/>
        <w:ind w:firstLine="198" w:firstLineChars="82"/>
        <w:rPr>
          <w:color w:val="FF0000"/>
        </w:rPr>
      </w:pPr>
      <w:bookmarkStart w:id="60" w:name="_Toc87"/>
      <w:r>
        <w:rPr>
          <w:rFonts w:hint="eastAsia"/>
        </w:rPr>
        <w:t>（二）经济效益</w:t>
      </w:r>
      <w:bookmarkEnd w:id="59"/>
      <w:r>
        <w:rPr>
          <w:rFonts w:hint="eastAsia"/>
        </w:rPr>
        <w:t>土地</w:t>
      </w:r>
      <w:bookmarkEnd w:id="60"/>
    </w:p>
    <w:p>
      <w:pPr>
        <w:ind w:firstLine="480"/>
        <w:rPr>
          <w:rFonts w:ascii="宋体" w:hAnsi="宋体" w:cs="Times New Roman"/>
          <w:kern w:val="44"/>
          <w:szCs w:val="24"/>
        </w:rPr>
      </w:pPr>
      <w:bookmarkStart w:id="61" w:name="_Hlk104314532"/>
      <w:r>
        <w:rPr>
          <w:rFonts w:hint="eastAsia" w:ascii="宋体" w:hAnsi="宋体" w:cs="Times New Roman"/>
          <w:szCs w:val="24"/>
        </w:rPr>
        <w:t>枫亭镇位于仙游产城融合规划“一轴三心三大片区”枫亭片区枫亭服务中心。工业用地集中建设有利于产业和生产要素集聚和区域经济发展整体规划，优化枫亭镇产业布局，发挥产业规模效应，在市场的作用下吸引更多企业进来，提高创新力和竞争力，促使企业向专业化、社会化发展，有利于形成产业集群，促进区域经济发展。经初步预算，该方案工业用地 337亩，</w:t>
      </w:r>
      <w:r>
        <w:rPr>
          <w:rFonts w:hint="eastAsia" w:ascii="宋体" w:hAnsi="宋体" w:cs="Times New Roman"/>
          <w:szCs w:val="24"/>
          <w:lang w:eastAsia="zh-Hans"/>
        </w:rPr>
        <w:t>固定资产投资为300万元/亩，地均税收</w:t>
      </w:r>
      <w:r>
        <w:rPr>
          <w:rFonts w:hint="eastAsia" w:ascii="宋体" w:hAnsi="宋体" w:cs="Times New Roman"/>
          <w:szCs w:val="24"/>
        </w:rPr>
        <w:t>每年约为</w:t>
      </w:r>
      <w:r>
        <w:rPr>
          <w:rFonts w:hint="eastAsia" w:ascii="宋体" w:hAnsi="宋体" w:cs="Times New Roman"/>
          <w:szCs w:val="24"/>
          <w:lang w:eastAsia="zh-Hans"/>
        </w:rPr>
        <w:t>50万元/亩,总固定资产投资约1</w:t>
      </w:r>
      <w:r>
        <w:rPr>
          <w:rFonts w:hint="eastAsia" w:ascii="宋体" w:hAnsi="宋体" w:cs="Times New Roman"/>
          <w:szCs w:val="24"/>
        </w:rPr>
        <w:t>0</w:t>
      </w:r>
      <w:r>
        <w:rPr>
          <w:rFonts w:ascii="宋体" w:hAnsi="宋体" w:cs="Times New Roman"/>
          <w:szCs w:val="24"/>
        </w:rPr>
        <w:t>.1</w:t>
      </w:r>
      <w:r>
        <w:rPr>
          <w:rFonts w:hint="eastAsia" w:ascii="宋体" w:hAnsi="宋体" w:cs="Times New Roman"/>
          <w:szCs w:val="24"/>
        </w:rPr>
        <w:t>1</w:t>
      </w:r>
      <w:r>
        <w:rPr>
          <w:rFonts w:hint="eastAsia" w:ascii="宋体" w:hAnsi="宋体" w:cs="Times New Roman"/>
          <w:szCs w:val="24"/>
          <w:lang w:eastAsia="zh-Hans"/>
        </w:rPr>
        <w:t>亿元，</w:t>
      </w:r>
      <w:r>
        <w:rPr>
          <w:rFonts w:hint="eastAsia" w:ascii="宋体" w:hAnsi="宋体" w:cs="Times New Roman"/>
          <w:szCs w:val="24"/>
        </w:rPr>
        <w:t>年</w:t>
      </w:r>
      <w:r>
        <w:rPr>
          <w:rFonts w:hint="eastAsia" w:ascii="宋体" w:hAnsi="宋体" w:cs="Times New Roman"/>
          <w:szCs w:val="24"/>
          <w:lang w:eastAsia="zh-Hans"/>
        </w:rPr>
        <w:t>总税收约</w:t>
      </w:r>
      <w:r>
        <w:rPr>
          <w:rFonts w:hint="eastAsia" w:ascii="宋体" w:hAnsi="宋体" w:cs="Times New Roman"/>
          <w:szCs w:val="24"/>
        </w:rPr>
        <w:t>1.69</w:t>
      </w:r>
      <w:r>
        <w:rPr>
          <w:rFonts w:hint="eastAsia" w:ascii="宋体" w:hAnsi="宋体" w:cs="Times New Roman"/>
          <w:szCs w:val="24"/>
          <w:lang w:eastAsia="zh-Hans"/>
        </w:rPr>
        <w:t>亿元</w:t>
      </w:r>
      <w:r>
        <w:rPr>
          <w:rFonts w:hint="eastAsia" w:ascii="宋体" w:hAnsi="宋体" w:cs="Times New Roman"/>
          <w:szCs w:val="24"/>
        </w:rPr>
        <w:t xml:space="preserve">。 </w:t>
      </w:r>
    </w:p>
    <w:p>
      <w:pPr>
        <w:ind w:firstLine="480"/>
        <w:rPr>
          <w:rFonts w:ascii="宋体" w:hAnsi="宋体" w:cs="Times New Roman"/>
          <w:kern w:val="44"/>
          <w:szCs w:val="24"/>
        </w:rPr>
      </w:pPr>
      <w:r>
        <w:rPr>
          <w:rFonts w:hint="eastAsia" w:ascii="宋体" w:hAnsi="宋体" w:cs="Times New Roman"/>
          <w:kern w:val="44"/>
          <w:szCs w:val="24"/>
        </w:rPr>
        <w:t>结合片区内意向企业的财务分析，从财务评价指标和现金流量表来看，从2021年起，未来8年项目所得税后投资财务内部收益率 20.33%，大于基准收益率 8.0%，税后投资财务净现值5576万元，具有良好的经济效益</w:t>
      </w:r>
      <w:bookmarkEnd w:id="61"/>
      <w:r>
        <w:rPr>
          <w:rFonts w:hint="eastAsia" w:ascii="宋体" w:hAnsi="宋体" w:cs="Times New Roman"/>
          <w:kern w:val="44"/>
          <w:szCs w:val="24"/>
        </w:rPr>
        <w:t>。</w:t>
      </w:r>
    </w:p>
    <w:p>
      <w:pPr>
        <w:pStyle w:val="5"/>
        <w:ind w:firstLine="198" w:firstLineChars="82"/>
      </w:pPr>
      <w:bookmarkStart w:id="62" w:name="_Toc67952611"/>
      <w:bookmarkStart w:id="63" w:name="_Toc12098"/>
      <w:r>
        <w:rPr>
          <w:rFonts w:hint="eastAsia"/>
        </w:rPr>
        <w:t>（三）社会效益</w:t>
      </w:r>
      <w:bookmarkEnd w:id="62"/>
      <w:bookmarkEnd w:id="63"/>
    </w:p>
    <w:p>
      <w:pPr>
        <w:ind w:firstLine="480"/>
        <w:rPr>
          <w:rFonts w:ascii="宋体" w:hAnsi="宋体" w:cs="Times New Roman"/>
          <w:kern w:val="44"/>
          <w:szCs w:val="24"/>
        </w:rPr>
      </w:pPr>
      <w:bookmarkStart w:id="64" w:name="_Hlk104314571"/>
      <w:r>
        <w:rPr>
          <w:rFonts w:hint="eastAsia" w:ascii="宋体" w:hAnsi="宋体" w:cs="Times New Roman"/>
          <w:szCs w:val="24"/>
        </w:rPr>
        <w:t>本区涉及产业布局规划中的枫亭南组团，规划产业定位为新材料产业。项目建设以《“十三五”国家战略性新兴产业发展规划》为指导，有利于产业研发创新，有利于推进产业人才聚集，推动枫亭镇新材料产业发展；有利于扩大就业，吸引就近人才就业，为当地提供约3</w:t>
      </w:r>
      <w:r>
        <w:rPr>
          <w:rFonts w:ascii="宋体" w:hAnsi="宋体" w:cs="Times New Roman"/>
          <w:szCs w:val="24"/>
        </w:rPr>
        <w:t>00个就业岗位，</w:t>
      </w:r>
      <w:r>
        <w:rPr>
          <w:rFonts w:hint="eastAsia" w:ascii="宋体" w:hAnsi="宋体" w:cs="Times New Roman"/>
          <w:szCs w:val="24"/>
        </w:rPr>
        <w:t>会使当地的就业机会明显增加，有助于解决仙游县农村富余劳动力的就业问题，缓解社会就业压力，保障社会稳定，具有积极的社会效益，</w:t>
      </w:r>
      <w:r>
        <w:rPr>
          <w:rFonts w:ascii="宋体" w:hAnsi="宋体" w:cs="Times New Roman"/>
          <w:szCs w:val="24"/>
        </w:rPr>
        <w:t>带动区域经济和社会发展；随着项目及相关配套设施的建成，</w:t>
      </w:r>
      <w:r>
        <w:rPr>
          <w:rFonts w:hint="eastAsia" w:ascii="宋体" w:hAnsi="宋体" w:cs="Times New Roman"/>
          <w:szCs w:val="24"/>
        </w:rPr>
        <w:t>周边村民的交通出行条件将得到进一步改善，增强村民的获得感和幸福感</w:t>
      </w:r>
      <w:r>
        <w:rPr>
          <w:rFonts w:ascii="宋体" w:hAnsi="宋体" w:cs="Times New Roman"/>
          <w:szCs w:val="24"/>
        </w:rPr>
        <w:t>；</w:t>
      </w:r>
      <w:r>
        <w:rPr>
          <w:rFonts w:hint="eastAsia" w:ascii="宋体" w:hAnsi="宋体" w:cs="Times New Roman"/>
          <w:szCs w:val="24"/>
        </w:rPr>
        <w:t>本方案可</w:t>
      </w:r>
      <w:r>
        <w:rPr>
          <w:rFonts w:ascii="宋体" w:hAnsi="宋体" w:cs="Times New Roman"/>
          <w:szCs w:val="24"/>
        </w:rPr>
        <w:t>实现安全、绿色和可持续发展，符合社</w:t>
      </w:r>
      <w:r>
        <w:rPr>
          <w:rFonts w:hint="eastAsia" w:ascii="宋体" w:hAnsi="宋体" w:cs="Times New Roman"/>
          <w:szCs w:val="24"/>
        </w:rPr>
        <w:t>会发展方向，适应未来经济发展需求</w:t>
      </w:r>
      <w:r>
        <w:rPr>
          <w:rFonts w:hint="eastAsia" w:ascii="宋体" w:hAnsi="宋体" w:cs="Times New Roman"/>
          <w:kern w:val="44"/>
          <w:szCs w:val="24"/>
        </w:rPr>
        <w:t>。</w:t>
      </w:r>
    </w:p>
    <w:bookmarkEnd w:id="64"/>
    <w:p>
      <w:pPr>
        <w:pStyle w:val="5"/>
        <w:ind w:firstLine="198" w:firstLineChars="82"/>
      </w:pPr>
      <w:bookmarkStart w:id="65" w:name="_Toc1514"/>
      <w:bookmarkStart w:id="66" w:name="_Toc67952612"/>
      <w:r>
        <w:rPr>
          <w:rFonts w:hint="eastAsia"/>
        </w:rPr>
        <w:t>（四）生态效益</w:t>
      </w:r>
      <w:bookmarkEnd w:id="65"/>
      <w:bookmarkEnd w:id="66"/>
    </w:p>
    <w:p>
      <w:pPr>
        <w:ind w:firstLine="480"/>
        <w:rPr>
          <w:rFonts w:ascii="宋体" w:hAnsi="宋体" w:cs="Times New Roman"/>
          <w:szCs w:val="24"/>
        </w:rPr>
      </w:pPr>
      <w:bookmarkStart w:id="67" w:name="_Hlk104314612"/>
      <w:r>
        <w:rPr>
          <w:rFonts w:hint="eastAsia" w:ascii="宋体" w:hAnsi="宋体" w:cs="Times New Roman"/>
          <w:szCs w:val="24"/>
        </w:rPr>
        <w:t>该方案沿道路设置防护绿地</w:t>
      </w:r>
      <w:r>
        <w:rPr>
          <w:rFonts w:ascii="宋体" w:hAnsi="宋体" w:cs="宋体"/>
          <w:color w:val="4472C4" w:themeColor="accent1"/>
          <w:kern w:val="0"/>
          <w:szCs w:val="24"/>
          <w14:textFill>
            <w14:solidFill>
              <w14:schemeClr w14:val="accent1"/>
            </w14:solidFill>
          </w14:textFill>
        </w:rPr>
        <w:t>1.8594</w:t>
      </w:r>
      <w:r>
        <w:rPr>
          <w:rFonts w:hint="eastAsia" w:ascii="宋体" w:hAnsi="宋体" w:cs="宋体"/>
          <w:kern w:val="0"/>
          <w:szCs w:val="24"/>
        </w:rPr>
        <w:t>公顷，</w:t>
      </w:r>
      <w:r>
        <w:rPr>
          <w:rFonts w:hint="eastAsia" w:ascii="宋体" w:hAnsi="宋体" w:cs="Times New Roman"/>
          <w:szCs w:val="24"/>
        </w:rPr>
        <w:t>形成片区内的重要开敞空间。一方面提高了片区绿量，对美化环境有积极作用，最大程度的保护了生物多样性和水岸生态特色；另一方面阻隔了工业生产活动产生的环境污染，起到良好的隔音或消音作用，有利于改善片区生态环境质量，具有较好的生态效益。</w:t>
      </w:r>
    </w:p>
    <w:bookmarkEnd w:id="67"/>
    <w:p>
      <w:pPr>
        <w:ind w:firstLine="480"/>
        <w:rPr>
          <w:rFonts w:ascii="宋体" w:hAnsi="宋体" w:cs="Times New Roman"/>
          <w:kern w:val="44"/>
          <w:szCs w:val="24"/>
        </w:rPr>
      </w:pPr>
      <w:r>
        <w:rPr>
          <w:rFonts w:hint="eastAsia" w:ascii="宋体" w:hAnsi="宋体" w:cs="Times New Roman"/>
          <w:kern w:val="44"/>
          <w:szCs w:val="24"/>
        </w:rPr>
        <w:t>本方案在施工期和运营期主要产生噪声污染、固体废弃物、空气污染、水体污染、土壤污染。</w:t>
      </w:r>
    </w:p>
    <w:p>
      <w:pPr>
        <w:ind w:firstLine="480"/>
        <w:rPr>
          <w:rFonts w:ascii="宋体" w:hAnsi="宋体" w:cs="Times New Roman"/>
          <w:kern w:val="44"/>
          <w:szCs w:val="24"/>
        </w:rPr>
      </w:pPr>
      <w:r>
        <w:rPr>
          <w:rFonts w:hint="eastAsia" w:ascii="宋体" w:hAnsi="宋体" w:cs="Times New Roman"/>
          <w:kern w:val="44"/>
          <w:szCs w:val="24"/>
        </w:rPr>
        <w:t>1、大气环境影响</w:t>
      </w:r>
    </w:p>
    <w:p>
      <w:pPr>
        <w:ind w:firstLine="480"/>
        <w:rPr>
          <w:rFonts w:ascii="宋体" w:hAnsi="宋体" w:cs="Times New Roman"/>
          <w:kern w:val="44"/>
          <w:szCs w:val="24"/>
        </w:rPr>
      </w:pPr>
      <w:r>
        <w:rPr>
          <w:rFonts w:hint="eastAsia" w:ascii="宋体" w:hAnsi="宋体" w:cs="Times New Roman"/>
          <w:kern w:val="44"/>
          <w:szCs w:val="24"/>
        </w:rPr>
        <w:t>施工期：本方案施工期对大气环境的主要影响是施工扬尘，通过采取调整搅拌场地、洒水抑尘等措施，可以减轻对大气环境的影响。</w:t>
      </w:r>
    </w:p>
    <w:p>
      <w:pPr>
        <w:ind w:firstLine="480"/>
        <w:rPr>
          <w:rFonts w:ascii="宋体" w:hAnsi="宋体" w:cs="Times New Roman"/>
          <w:kern w:val="44"/>
          <w:szCs w:val="24"/>
        </w:rPr>
      </w:pPr>
      <w:r>
        <w:rPr>
          <w:rFonts w:hint="eastAsia" w:ascii="宋体" w:hAnsi="宋体" w:cs="Times New Roman"/>
          <w:kern w:val="44"/>
          <w:szCs w:val="24"/>
        </w:rPr>
        <w:t>运营期：该片区工业项目以生产鞋服新材料为主，生产过程采用绿色环境友好的超临界二氧化碳或氮气作为发泡剂 ，因此整个生产过程不会产生有害废气，对大气环境的影响不大。</w:t>
      </w:r>
    </w:p>
    <w:p>
      <w:pPr>
        <w:ind w:firstLine="480"/>
        <w:rPr>
          <w:rFonts w:ascii="宋体" w:hAnsi="宋体" w:cs="Times New Roman"/>
          <w:kern w:val="44"/>
          <w:szCs w:val="24"/>
        </w:rPr>
      </w:pPr>
      <w:r>
        <w:rPr>
          <w:rFonts w:hint="eastAsia" w:ascii="宋体" w:hAnsi="宋体" w:cs="Times New Roman"/>
          <w:kern w:val="44"/>
          <w:szCs w:val="24"/>
        </w:rPr>
        <w:t>2、水环境影响</w:t>
      </w:r>
    </w:p>
    <w:p>
      <w:pPr>
        <w:ind w:firstLine="480"/>
        <w:rPr>
          <w:rFonts w:ascii="宋体" w:hAnsi="宋体" w:cs="Times New Roman"/>
          <w:kern w:val="44"/>
          <w:szCs w:val="24"/>
        </w:rPr>
      </w:pPr>
      <w:r>
        <w:rPr>
          <w:rFonts w:hint="eastAsia" w:ascii="宋体" w:hAnsi="宋体" w:cs="Times New Roman"/>
          <w:kern w:val="44"/>
          <w:szCs w:val="24"/>
        </w:rPr>
        <w:t>施工期：方案施工期对水环境的污染主要来自于建设时施工废水和施工人员生活污水排放，这些影响都是暂时的，可以通过加强施工场地的管理来减缓工程对水环境的影响。</w:t>
      </w:r>
    </w:p>
    <w:p>
      <w:pPr>
        <w:ind w:firstLine="480"/>
        <w:rPr>
          <w:rFonts w:ascii="宋体" w:hAnsi="宋体" w:cs="Times New Roman"/>
          <w:kern w:val="44"/>
          <w:szCs w:val="24"/>
        </w:rPr>
      </w:pPr>
      <w:r>
        <w:rPr>
          <w:rFonts w:hint="eastAsia" w:ascii="宋体" w:hAnsi="宋体" w:cs="Times New Roman"/>
          <w:kern w:val="44"/>
          <w:szCs w:val="24"/>
        </w:rPr>
        <w:t>运营期：鞋服新材料产业在生产过程中，采用封闭循环的冷却水设备，用水量很少，且不会造成水污染。片区周边规划了市政管网，采用雨污分流的排水模式，工业废水经处理达到排放标准后排入污水管网，不会对周边水环境造成影响。片区在开发、规划、建设等过程中严格按照相关法律法规要求，积极落实水环境保护措施，确保满足周边及下游水环境质量要求。同时，开发建设过程中将严格按照《工矿用地土壤环境管理办法（试行）》开展工矿用地地下水环境现状调查。</w:t>
      </w:r>
    </w:p>
    <w:p>
      <w:pPr>
        <w:ind w:firstLine="480"/>
        <w:rPr>
          <w:rFonts w:ascii="宋体" w:hAnsi="宋体" w:cs="Times New Roman"/>
          <w:kern w:val="44"/>
          <w:szCs w:val="24"/>
        </w:rPr>
      </w:pPr>
      <w:r>
        <w:rPr>
          <w:rFonts w:hint="eastAsia" w:ascii="宋体" w:hAnsi="宋体" w:cs="Times New Roman"/>
          <w:kern w:val="44"/>
          <w:szCs w:val="24"/>
        </w:rPr>
        <w:t>3、声环境影响</w:t>
      </w:r>
    </w:p>
    <w:p>
      <w:pPr>
        <w:ind w:firstLine="480"/>
        <w:rPr>
          <w:rFonts w:ascii="宋体" w:hAnsi="宋体" w:cs="Times New Roman"/>
          <w:kern w:val="44"/>
          <w:szCs w:val="24"/>
        </w:rPr>
      </w:pPr>
      <w:r>
        <w:rPr>
          <w:rFonts w:hint="eastAsia" w:ascii="宋体" w:hAnsi="宋体" w:cs="Times New Roman"/>
          <w:kern w:val="44"/>
          <w:szCs w:val="24"/>
        </w:rPr>
        <w:t>施工期：本方案通过注意日常维护、采取临时性的隔声降噪措施，并严格执行莆田市噪声管理条例。在此规范管理的基础上，可将其影响降至最低，且随施工期的结束而自然消失。</w:t>
      </w:r>
    </w:p>
    <w:p>
      <w:pPr>
        <w:ind w:firstLine="480"/>
        <w:rPr>
          <w:rFonts w:ascii="宋体" w:hAnsi="宋体" w:cs="Times New Roman"/>
          <w:kern w:val="44"/>
          <w:szCs w:val="24"/>
        </w:rPr>
      </w:pPr>
      <w:r>
        <w:rPr>
          <w:rFonts w:hint="eastAsia" w:ascii="宋体" w:hAnsi="宋体" w:cs="Times New Roman"/>
          <w:kern w:val="44"/>
          <w:szCs w:val="24"/>
        </w:rPr>
        <w:t>运营期：鞋服新材料企业的主要生产设备为注塑机和发泡机，设备运行噪声低，并采取相应的减震措施，对环境的影响小。</w:t>
      </w:r>
    </w:p>
    <w:p>
      <w:pPr>
        <w:ind w:firstLine="480"/>
        <w:rPr>
          <w:rFonts w:ascii="宋体" w:hAnsi="宋体" w:cs="Times New Roman"/>
          <w:kern w:val="44"/>
          <w:szCs w:val="24"/>
        </w:rPr>
      </w:pPr>
      <w:r>
        <w:rPr>
          <w:rFonts w:hint="eastAsia" w:ascii="宋体" w:hAnsi="宋体" w:cs="Times New Roman"/>
          <w:kern w:val="44"/>
          <w:szCs w:val="24"/>
        </w:rPr>
        <w:t>4、固体废弃物处置影响</w:t>
      </w:r>
    </w:p>
    <w:p>
      <w:pPr>
        <w:ind w:firstLine="480"/>
        <w:rPr>
          <w:rFonts w:ascii="宋体" w:hAnsi="宋体" w:cs="Times New Roman"/>
          <w:kern w:val="44"/>
          <w:szCs w:val="24"/>
        </w:rPr>
      </w:pPr>
      <w:r>
        <w:rPr>
          <w:rFonts w:hint="eastAsia" w:ascii="宋体" w:hAnsi="宋体" w:cs="Times New Roman"/>
          <w:kern w:val="44"/>
          <w:szCs w:val="24"/>
        </w:rPr>
        <w:t>施工期：施工期间的固体废弃物主要来自废弃建筑材料及施工人员产生的生活垃圾等。按城市建设管理部门规定的要求统一及时处置，不会对环境产生影响。</w:t>
      </w:r>
    </w:p>
    <w:p>
      <w:pPr>
        <w:ind w:firstLine="480"/>
        <w:rPr>
          <w:rFonts w:ascii="宋体" w:hAnsi="宋体" w:cs="Times New Roman"/>
          <w:kern w:val="44"/>
          <w:szCs w:val="24"/>
        </w:rPr>
      </w:pPr>
      <w:r>
        <w:rPr>
          <w:rFonts w:hint="eastAsia" w:ascii="宋体" w:hAnsi="宋体" w:cs="Times New Roman"/>
          <w:kern w:val="44"/>
          <w:szCs w:val="24"/>
        </w:rPr>
        <w:t>运营期：鞋服新材料企业的固体废弃物主要为生物可降解材料，对环境影响较小，可通过设置垃圾收集站，及时集中清运生活垃圾，按处置规程处理危险废物。</w:t>
      </w:r>
    </w:p>
    <w:p>
      <w:pPr>
        <w:ind w:firstLine="480"/>
        <w:rPr>
          <w:rFonts w:ascii="宋体" w:hAnsi="宋体" w:cs="Times New Roman"/>
          <w:kern w:val="44"/>
          <w:szCs w:val="24"/>
        </w:rPr>
      </w:pPr>
      <w:r>
        <w:rPr>
          <w:rFonts w:hint="eastAsia" w:ascii="宋体" w:hAnsi="宋体" w:cs="Times New Roman"/>
          <w:kern w:val="44"/>
          <w:szCs w:val="24"/>
        </w:rPr>
        <w:t>5、土壤污染的影响</w:t>
      </w:r>
    </w:p>
    <w:p>
      <w:pPr>
        <w:ind w:firstLine="480"/>
        <w:rPr>
          <w:rFonts w:ascii="宋体" w:hAnsi="宋体" w:cs="Times New Roman"/>
          <w:kern w:val="44"/>
          <w:szCs w:val="24"/>
        </w:rPr>
      </w:pPr>
      <w:bookmarkStart w:id="68" w:name="_Hlk104314662"/>
      <w:r>
        <w:rPr>
          <w:rFonts w:hint="eastAsia" w:ascii="宋体" w:hAnsi="宋体" w:cs="Times New Roman"/>
          <w:kern w:val="44"/>
          <w:szCs w:val="24"/>
        </w:rPr>
        <w:t>慈岳片区在建设过程中，将重点做好农用地表土层的保护和利用，并落实好各项污染防控措施，对土壤环境总体上的污染较小。</w:t>
      </w:r>
      <w:bookmarkEnd w:id="68"/>
      <w:r>
        <w:rPr>
          <w:rFonts w:hint="eastAsia" w:ascii="宋体" w:hAnsi="宋体" w:cs="Times New Roman"/>
          <w:kern w:val="44"/>
          <w:szCs w:val="24"/>
        </w:rPr>
        <w:t>同时，开发建设过程中严格按照《工矿用地土壤环境管理办法（试行）》开展工矿用地土壤环境现状调查。通过有效的管控，本方案的开发建设对周边环境的风险影响达到可接受的范围。</w:t>
      </w:r>
    </w:p>
    <w:p>
      <w:pPr>
        <w:pStyle w:val="4"/>
        <w:rPr>
          <w:rFonts w:ascii="Times New Roman" w:hAnsi="Times New Roman" w:cs="Times New Roman"/>
        </w:rPr>
      </w:pPr>
      <w:bookmarkStart w:id="69" w:name="_Toc67952613"/>
      <w:bookmarkStart w:id="70" w:name="_Toc11243"/>
      <w:r>
        <w:rPr>
          <w:rFonts w:ascii="Times New Roman" w:hAnsi="Times New Roman" w:cs="Times New Roman"/>
        </w:rPr>
        <w:t>九、征求意见情况</w:t>
      </w:r>
      <w:bookmarkEnd w:id="69"/>
      <w:bookmarkEnd w:id="70"/>
    </w:p>
    <w:p>
      <w:pPr>
        <w:pStyle w:val="5"/>
        <w:ind w:firstLine="198" w:firstLineChars="82"/>
      </w:pPr>
      <w:bookmarkStart w:id="71" w:name="_Toc32619"/>
      <w:bookmarkStart w:id="72" w:name="_Toc67952616"/>
      <w:r>
        <w:rPr>
          <w:rFonts w:hint="eastAsia"/>
        </w:rPr>
        <w:t>（一）听取人大代表、政协委员、社会公众和有关专家学者意见</w:t>
      </w:r>
      <w:bookmarkEnd w:id="71"/>
    </w:p>
    <w:p>
      <w:pPr>
        <w:ind w:firstLine="480"/>
        <w:rPr>
          <w:rFonts w:hint="eastAsia" w:ascii="宋体" w:hAnsi="宋体" w:cs="Times New Roman"/>
          <w:kern w:val="44"/>
          <w:szCs w:val="24"/>
        </w:rPr>
      </w:pPr>
      <w:r>
        <w:rPr>
          <w:rFonts w:hint="eastAsia" w:ascii="宋体" w:hAnsi="宋体" w:cs="Times New Roman"/>
          <w:kern w:val="44"/>
          <w:szCs w:val="24"/>
        </w:rPr>
        <w:t>2022年3月17日，仙游县人民政府组织听取了2位人大代表、2位政协委员、1位律师、仙游县自然资源局、水利局、文旅局、发改局、农业农村局、生态环境局、住建局等部门、社会公众和相关专家学者的意见。共收到13份意见，相关意见均已采纳。</w:t>
      </w:r>
    </w:p>
    <w:p>
      <w:pPr>
        <w:pStyle w:val="5"/>
        <w:ind w:firstLine="198" w:firstLineChars="82"/>
      </w:pPr>
      <w:bookmarkStart w:id="73" w:name="_Toc61179750"/>
      <w:bookmarkStart w:id="74" w:name="_Toc10772"/>
      <w:r>
        <w:rPr>
          <w:rFonts w:hint="eastAsia"/>
        </w:rPr>
        <w:t>（二）征求集体经济组织和农民意见</w:t>
      </w:r>
      <w:bookmarkEnd w:id="73"/>
      <w:bookmarkEnd w:id="74"/>
    </w:p>
    <w:p>
      <w:pPr>
        <w:ind w:firstLine="480"/>
        <w:rPr>
          <w:rFonts w:ascii="宋体" w:hAnsi="宋体" w:cs="Times New Roman"/>
          <w:kern w:val="44"/>
          <w:szCs w:val="24"/>
        </w:rPr>
      </w:pPr>
      <w:r>
        <w:rPr>
          <w:rFonts w:hint="eastAsia" w:ascii="宋体" w:hAnsi="宋体" w:cs="Times New Roman"/>
          <w:kern w:val="44"/>
          <w:szCs w:val="24"/>
        </w:rPr>
        <w:t>本方案修改完善后，仙游县人民政府按要求下发成片开发方案征求意见的函。征求本范围涉及仙游县1个乡镇内2个村集体经济组织意见。202</w:t>
      </w:r>
      <w:r>
        <w:rPr>
          <w:rFonts w:ascii="宋体" w:hAnsi="宋体" w:cs="Times New Roman"/>
          <w:kern w:val="44"/>
          <w:szCs w:val="24"/>
        </w:rPr>
        <w:t>2</w:t>
      </w:r>
      <w:r>
        <w:rPr>
          <w:rFonts w:hint="eastAsia" w:ascii="宋体" w:hAnsi="宋体" w:cs="Times New Roman"/>
          <w:kern w:val="44"/>
          <w:szCs w:val="24"/>
        </w:rPr>
        <w:t>年</w:t>
      </w:r>
      <w:r>
        <w:rPr>
          <w:rFonts w:ascii="宋体" w:hAnsi="宋体" w:cs="Times New Roman"/>
          <w:kern w:val="44"/>
          <w:szCs w:val="24"/>
        </w:rPr>
        <w:t>3</w:t>
      </w:r>
      <w:r>
        <w:rPr>
          <w:rFonts w:hint="eastAsia" w:ascii="宋体" w:hAnsi="宋体" w:cs="Times New Roman"/>
          <w:kern w:val="44"/>
          <w:szCs w:val="24"/>
        </w:rPr>
        <w:t>月</w:t>
      </w:r>
      <w:r>
        <w:rPr>
          <w:rFonts w:ascii="宋体" w:hAnsi="宋体" w:cs="Times New Roman"/>
          <w:kern w:val="44"/>
          <w:szCs w:val="24"/>
        </w:rPr>
        <w:t>22</w:t>
      </w:r>
      <w:r>
        <w:rPr>
          <w:rFonts w:hint="eastAsia" w:ascii="宋体" w:hAnsi="宋体" w:cs="Times New Roman"/>
          <w:kern w:val="44"/>
          <w:szCs w:val="24"/>
        </w:rPr>
        <w:t>日，方案所涉及的枫亭镇组织召开村民代表会议，东宅村应到村民代表</w:t>
      </w:r>
      <w:r>
        <w:rPr>
          <w:rFonts w:ascii="宋体" w:hAnsi="宋体" w:cs="Times New Roman"/>
          <w:kern w:val="44"/>
          <w:szCs w:val="24"/>
        </w:rPr>
        <w:t>61</w:t>
      </w:r>
      <w:r>
        <w:rPr>
          <w:rFonts w:hint="eastAsia" w:ascii="宋体" w:hAnsi="宋体" w:cs="Times New Roman"/>
          <w:kern w:val="44"/>
          <w:szCs w:val="24"/>
        </w:rPr>
        <w:t>人，实到53人，53人同意成片开发方案，比例为86.89%；下社村应到村民代表42人，实到35人，35人同意成片开发方案，比例为83.33%。两村均达到三分之二以上村民代表同意成片开发方案。根据会议结论仙游县枫亭镇东宅村、下社村出具同意土地利用成片开发方案的回执函。</w:t>
      </w:r>
    </w:p>
    <w:p>
      <w:pPr>
        <w:pStyle w:val="5"/>
        <w:ind w:firstLine="198" w:firstLineChars="82"/>
      </w:pPr>
      <w:r>
        <w:rPr>
          <w:rFonts w:hint="eastAsia"/>
        </w:rPr>
        <w:t>（三）公示情况</w:t>
      </w:r>
    </w:p>
    <w:p>
      <w:pPr>
        <w:ind w:firstLine="480"/>
        <w:rPr>
          <w:rFonts w:ascii="宋体" w:hAnsi="宋体" w:cs="Times New Roman"/>
          <w:kern w:val="44"/>
          <w:szCs w:val="24"/>
        </w:rPr>
      </w:pPr>
      <w:r>
        <w:rPr>
          <w:rFonts w:hint="eastAsia" w:ascii="宋体" w:hAnsi="宋体" w:cs="Times New Roman"/>
          <w:kern w:val="44"/>
          <w:szCs w:val="24"/>
        </w:rPr>
        <w:t>202</w:t>
      </w:r>
      <w:r>
        <w:rPr>
          <w:rFonts w:ascii="宋体" w:hAnsi="宋体" w:cs="Times New Roman"/>
          <w:kern w:val="44"/>
          <w:szCs w:val="24"/>
        </w:rPr>
        <w:t>2</w:t>
      </w:r>
      <w:r>
        <w:rPr>
          <w:rFonts w:hint="eastAsia" w:ascii="宋体" w:hAnsi="宋体" w:cs="Times New Roman"/>
          <w:kern w:val="44"/>
          <w:szCs w:val="24"/>
        </w:rPr>
        <w:t>年</w:t>
      </w:r>
      <w:r>
        <w:rPr>
          <w:rFonts w:ascii="宋体" w:hAnsi="宋体" w:cs="Times New Roman"/>
          <w:kern w:val="44"/>
          <w:szCs w:val="24"/>
        </w:rPr>
        <w:t>3</w:t>
      </w:r>
      <w:r>
        <w:rPr>
          <w:rFonts w:hint="eastAsia" w:ascii="宋体" w:hAnsi="宋体" w:cs="Times New Roman"/>
          <w:kern w:val="44"/>
          <w:szCs w:val="24"/>
        </w:rPr>
        <w:t>月</w:t>
      </w:r>
      <w:r>
        <w:rPr>
          <w:rFonts w:ascii="宋体" w:hAnsi="宋体" w:cs="Times New Roman"/>
          <w:kern w:val="44"/>
          <w:szCs w:val="24"/>
        </w:rPr>
        <w:t>25</w:t>
      </w:r>
      <w:r>
        <w:rPr>
          <w:rFonts w:hint="eastAsia" w:ascii="宋体" w:hAnsi="宋体" w:cs="Times New Roman"/>
          <w:kern w:val="44"/>
          <w:szCs w:val="24"/>
        </w:rPr>
        <w:t>日至202</w:t>
      </w:r>
      <w:r>
        <w:rPr>
          <w:rFonts w:ascii="宋体" w:hAnsi="宋体" w:cs="Times New Roman"/>
          <w:kern w:val="44"/>
          <w:szCs w:val="24"/>
        </w:rPr>
        <w:t>2</w:t>
      </w:r>
      <w:r>
        <w:rPr>
          <w:rFonts w:hint="eastAsia" w:ascii="宋体" w:hAnsi="宋体" w:cs="Times New Roman"/>
          <w:kern w:val="44"/>
          <w:szCs w:val="24"/>
        </w:rPr>
        <w:t>年</w:t>
      </w:r>
      <w:r>
        <w:rPr>
          <w:rFonts w:ascii="宋体" w:hAnsi="宋体" w:cs="Times New Roman"/>
          <w:kern w:val="44"/>
          <w:szCs w:val="24"/>
        </w:rPr>
        <w:t>4</w:t>
      </w:r>
      <w:r>
        <w:rPr>
          <w:rFonts w:hint="eastAsia" w:ascii="宋体" w:hAnsi="宋体" w:cs="Times New Roman"/>
          <w:kern w:val="44"/>
          <w:szCs w:val="24"/>
        </w:rPr>
        <w:t>月</w:t>
      </w:r>
      <w:r>
        <w:rPr>
          <w:rFonts w:ascii="宋体" w:hAnsi="宋体" w:cs="Times New Roman"/>
          <w:kern w:val="44"/>
          <w:szCs w:val="24"/>
        </w:rPr>
        <w:t>5</w:t>
      </w:r>
      <w:r>
        <w:rPr>
          <w:rFonts w:hint="eastAsia" w:ascii="宋体" w:hAnsi="宋体" w:cs="Times New Roman"/>
          <w:kern w:val="44"/>
          <w:szCs w:val="24"/>
        </w:rPr>
        <w:t>日方案在仙游县政府网站进行公示，并于202</w:t>
      </w:r>
      <w:r>
        <w:rPr>
          <w:rFonts w:ascii="宋体" w:hAnsi="宋体" w:cs="Times New Roman"/>
          <w:kern w:val="44"/>
          <w:szCs w:val="24"/>
        </w:rPr>
        <w:t>2</w:t>
      </w:r>
      <w:r>
        <w:rPr>
          <w:rFonts w:hint="eastAsia" w:ascii="宋体" w:hAnsi="宋体" w:cs="Times New Roman"/>
          <w:kern w:val="44"/>
          <w:szCs w:val="24"/>
        </w:rPr>
        <w:t>年</w:t>
      </w:r>
      <w:r>
        <w:rPr>
          <w:rFonts w:ascii="宋体" w:hAnsi="宋体" w:cs="Times New Roman"/>
          <w:kern w:val="44"/>
          <w:szCs w:val="24"/>
        </w:rPr>
        <w:t>3</w:t>
      </w:r>
      <w:r>
        <w:rPr>
          <w:rFonts w:hint="eastAsia" w:ascii="宋体" w:hAnsi="宋体" w:cs="Times New Roman"/>
          <w:kern w:val="44"/>
          <w:szCs w:val="24"/>
        </w:rPr>
        <w:t>月</w:t>
      </w:r>
      <w:r>
        <w:rPr>
          <w:rFonts w:ascii="宋体" w:hAnsi="宋体" w:cs="Times New Roman"/>
          <w:kern w:val="44"/>
          <w:szCs w:val="24"/>
        </w:rPr>
        <w:t>25</w:t>
      </w:r>
      <w:r>
        <w:rPr>
          <w:rFonts w:hint="eastAsia" w:ascii="宋体" w:hAnsi="宋体" w:cs="Times New Roman"/>
          <w:kern w:val="44"/>
          <w:szCs w:val="24"/>
        </w:rPr>
        <w:t>日至202</w:t>
      </w:r>
      <w:r>
        <w:rPr>
          <w:rFonts w:ascii="宋体" w:hAnsi="宋体" w:cs="Times New Roman"/>
          <w:kern w:val="44"/>
          <w:szCs w:val="24"/>
        </w:rPr>
        <w:t>2</w:t>
      </w:r>
      <w:r>
        <w:rPr>
          <w:rFonts w:hint="eastAsia" w:ascii="宋体" w:hAnsi="宋体" w:cs="Times New Roman"/>
          <w:kern w:val="44"/>
          <w:szCs w:val="24"/>
        </w:rPr>
        <w:t>年</w:t>
      </w:r>
      <w:r>
        <w:rPr>
          <w:rFonts w:ascii="宋体" w:hAnsi="宋体" w:cs="Times New Roman"/>
          <w:kern w:val="44"/>
          <w:szCs w:val="24"/>
        </w:rPr>
        <w:t>4</w:t>
      </w:r>
      <w:r>
        <w:rPr>
          <w:rFonts w:hint="eastAsia" w:ascii="宋体" w:hAnsi="宋体" w:cs="Times New Roman"/>
          <w:kern w:val="44"/>
          <w:szCs w:val="24"/>
        </w:rPr>
        <w:t>月</w:t>
      </w:r>
      <w:r>
        <w:rPr>
          <w:rFonts w:ascii="宋体" w:hAnsi="宋体" w:cs="Times New Roman"/>
          <w:kern w:val="44"/>
          <w:szCs w:val="24"/>
        </w:rPr>
        <w:t>5</w:t>
      </w:r>
      <w:r>
        <w:rPr>
          <w:rFonts w:hint="eastAsia" w:ascii="宋体" w:hAnsi="宋体" w:cs="Times New Roman"/>
          <w:kern w:val="44"/>
          <w:szCs w:val="24"/>
        </w:rPr>
        <w:t>日</w:t>
      </w:r>
      <w:r>
        <w:rPr>
          <w:rFonts w:ascii="宋体" w:hAnsi="宋体" w:cs="Times New Roman"/>
          <w:kern w:val="44"/>
          <w:szCs w:val="24"/>
        </w:rPr>
        <w:t>将相关内容张贴于</w:t>
      </w:r>
      <w:r>
        <w:rPr>
          <w:rFonts w:hint="eastAsia" w:ascii="宋体" w:hAnsi="宋体" w:cs="Times New Roman"/>
          <w:kern w:val="44"/>
          <w:szCs w:val="24"/>
        </w:rPr>
        <w:t>东宅村、下社村</w:t>
      </w:r>
      <w:r>
        <w:rPr>
          <w:rFonts w:ascii="宋体" w:hAnsi="宋体" w:cs="Times New Roman"/>
          <w:kern w:val="44"/>
          <w:szCs w:val="24"/>
        </w:rPr>
        <w:t>公告栏进行公示</w:t>
      </w:r>
      <w:r>
        <w:rPr>
          <w:rFonts w:hint="eastAsia" w:ascii="宋体" w:hAnsi="宋体" w:cs="Times New Roman"/>
          <w:kern w:val="44"/>
          <w:szCs w:val="24"/>
        </w:rPr>
        <w:t>。公示时间超过</w:t>
      </w:r>
      <w:r>
        <w:rPr>
          <w:rFonts w:ascii="宋体" w:hAnsi="宋体" w:cs="Times New Roman"/>
          <w:kern w:val="44"/>
          <w:szCs w:val="24"/>
        </w:rPr>
        <w:t>5个工作日。公示期间，未收到任何意见、建议和反馈。</w:t>
      </w:r>
    </w:p>
    <w:p>
      <w:pPr>
        <w:pStyle w:val="4"/>
        <w:rPr>
          <w:rFonts w:ascii="Times New Roman" w:hAnsi="Times New Roman" w:cs="Times New Roman"/>
        </w:rPr>
      </w:pPr>
      <w:bookmarkStart w:id="75" w:name="_Toc6538"/>
      <w:r>
        <w:rPr>
          <w:rFonts w:ascii="Times New Roman" w:hAnsi="Times New Roman" w:cs="Times New Roman"/>
        </w:rPr>
        <w:t>十、结论</w:t>
      </w:r>
      <w:bookmarkEnd w:id="72"/>
      <w:bookmarkEnd w:id="75"/>
    </w:p>
    <w:p>
      <w:pPr>
        <w:ind w:firstLine="480"/>
        <w:rPr>
          <w:rFonts w:ascii="Times New Roman" w:hAnsi="Times New Roman" w:cs="Times New Roman"/>
        </w:rPr>
      </w:pPr>
      <w:r>
        <w:rPr>
          <w:rFonts w:hint="eastAsia" w:ascii="Times New Roman" w:hAnsi="Times New Roman" w:cs="Times New Roman"/>
        </w:rPr>
        <w:t>本土地征收成片方案符合仙游县国民经济和社会发展第十四个五年规划、在土地利用总体规划确定的城镇建设用地范围内，已纳入国民经济和社会发展年度计划，符合部省规定的标准，做到了保护耕地、维护农民合法权益、节约集约用地、保护生态环境，能够促进经济社会可持续发展。</w:t>
      </w:r>
    </w:p>
    <w:p>
      <w:pPr>
        <w:pStyle w:val="4"/>
      </w:pPr>
      <w:bookmarkStart w:id="76" w:name="_Toc8201"/>
      <w:bookmarkStart w:id="77" w:name="_Toc67952617"/>
      <w:r>
        <w:rPr>
          <w:rFonts w:hint="eastAsia"/>
        </w:rPr>
        <w:t>十一、</w:t>
      </w:r>
      <w:r>
        <w:rPr>
          <w:rFonts w:hint="eastAsia"/>
          <w:color w:val="4472C4" w:themeColor="accent1"/>
          <w14:textFill>
            <w14:solidFill>
              <w14:schemeClr w14:val="accent1"/>
            </w14:solidFill>
          </w14:textFill>
        </w:rPr>
        <w:t>附图</w:t>
      </w:r>
      <w:bookmarkEnd w:id="76"/>
      <w:bookmarkEnd w:id="77"/>
    </w:p>
    <w:p>
      <w:pPr>
        <w:ind w:firstLine="0" w:firstLineChars="0"/>
      </w:pPr>
      <w:r>
        <w:rPr>
          <w:rFonts w:hint="eastAsia"/>
        </w:rPr>
        <w:drawing>
          <wp:inline distT="0" distB="0" distL="114300" distR="114300">
            <wp:extent cx="8030210" cy="5678170"/>
            <wp:effectExtent l="0" t="508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8030544" cy="5678657"/>
                    </a:xfrm>
                    <a:prstGeom prst="rect">
                      <a:avLst/>
                    </a:prstGeom>
                  </pic:spPr>
                </pic:pic>
              </a:graphicData>
            </a:graphic>
          </wp:inline>
        </w:drawing>
      </w:r>
    </w:p>
    <w:p>
      <w:pPr>
        <w:pStyle w:val="2"/>
        <w:ind w:left="0" w:leftChars="0" w:firstLine="0" w:firstLineChars="0"/>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pPr>
        <w:pStyle w:val="4"/>
      </w:pPr>
      <w:bookmarkStart w:id="78" w:name="_Toc25685"/>
      <w:bookmarkStart w:id="79" w:name="_Toc67952618"/>
      <w:r>
        <w:rPr>
          <w:rFonts w:hint="eastAsia"/>
        </w:rPr>
        <w:t>十二、附表</w:t>
      </w:r>
      <w:bookmarkEnd w:id="78"/>
      <w:bookmarkEnd w:id="79"/>
    </w:p>
    <w:p>
      <w:pPr>
        <w:pStyle w:val="5"/>
        <w:ind w:firstLine="482"/>
      </w:pPr>
      <w:bookmarkStart w:id="80" w:name="_Toc67952619"/>
      <w:bookmarkStart w:id="81" w:name="_Toc19659"/>
      <w:r>
        <w:rPr>
          <w:rFonts w:hint="eastAsia"/>
        </w:rPr>
        <w:t>附表1</w:t>
      </w:r>
      <w:r>
        <w:t xml:space="preserve"> </w:t>
      </w:r>
      <w:r>
        <w:rPr>
          <w:rFonts w:hint="eastAsia"/>
        </w:rPr>
        <w:t>土地利用现状及权属统计表</w:t>
      </w:r>
      <w:bookmarkEnd w:id="80"/>
      <w:bookmarkEnd w:id="81"/>
    </w:p>
    <w:p>
      <w:pPr>
        <w:ind w:firstLine="12000" w:firstLineChars="5000"/>
        <w:rPr>
          <w:rFonts w:ascii="Times New Roman" w:hAnsi="Times New Roman" w:cs="Times New Roman"/>
        </w:rPr>
      </w:pPr>
      <w:r>
        <w:rPr>
          <w:rFonts w:hint="eastAsia" w:ascii="Times New Roman" w:hAnsi="Times New Roman" w:cs="Times New Roman"/>
        </w:rPr>
        <w:t>单位：公顷（</w:t>
      </w:r>
      <w:r>
        <w:rPr>
          <w:rFonts w:ascii="Times New Roman" w:hAnsi="Times New Roman" w:cs="Times New Roman"/>
        </w:rPr>
        <w:t>%）</w:t>
      </w:r>
    </w:p>
    <w:tbl>
      <w:tblPr>
        <w:tblStyle w:val="14"/>
        <w:tblW w:w="5000" w:type="pct"/>
        <w:tblInd w:w="0" w:type="dxa"/>
        <w:tblLayout w:type="autofit"/>
        <w:tblCellMar>
          <w:top w:w="0" w:type="dxa"/>
          <w:left w:w="108" w:type="dxa"/>
          <w:bottom w:w="0" w:type="dxa"/>
          <w:right w:w="108" w:type="dxa"/>
        </w:tblCellMar>
      </w:tblPr>
      <w:tblGrid>
        <w:gridCol w:w="2199"/>
        <w:gridCol w:w="2823"/>
        <w:gridCol w:w="1243"/>
        <w:gridCol w:w="1505"/>
        <w:gridCol w:w="1423"/>
        <w:gridCol w:w="1968"/>
        <w:gridCol w:w="1506"/>
        <w:gridCol w:w="1507"/>
      </w:tblGrid>
      <w:tr>
        <w:tblPrEx>
          <w:tblCellMar>
            <w:top w:w="0" w:type="dxa"/>
            <w:left w:w="108" w:type="dxa"/>
            <w:bottom w:w="0" w:type="dxa"/>
            <w:right w:w="108" w:type="dxa"/>
          </w:tblCellMar>
        </w:tblPrEx>
        <w:trPr>
          <w:trHeight w:val="288" w:hRule="atLeast"/>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用地方式</w:t>
            </w:r>
          </w:p>
        </w:tc>
        <w:tc>
          <w:tcPr>
            <w:tcW w:w="14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权属单位</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面积总计</w:t>
            </w:r>
          </w:p>
        </w:tc>
        <w:tc>
          <w:tcPr>
            <w:tcW w:w="11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农用地</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建设用地</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未利用地</w:t>
            </w:r>
          </w:p>
        </w:tc>
      </w:tr>
      <w:tr>
        <w:tblPrEx>
          <w:tblCellMar>
            <w:top w:w="0" w:type="dxa"/>
            <w:left w:w="108" w:type="dxa"/>
            <w:bottom w:w="0" w:type="dxa"/>
            <w:right w:w="108" w:type="dxa"/>
          </w:tblCellMar>
        </w:tblPrEx>
        <w:trPr>
          <w:trHeight w:val="288" w:hRule="atLeast"/>
        </w:trPr>
        <w:tc>
          <w:tcPr>
            <w:tcW w:w="776"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kern w:val="0"/>
                <w:sz w:val="22"/>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乡（镇、街道）</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村</w:t>
            </w: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kern w:val="0"/>
                <w:sz w:val="22"/>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合计</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其中：耕地</w:t>
            </w:r>
          </w:p>
        </w:tc>
        <w:tc>
          <w:tcPr>
            <w:tcW w:w="530"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kern w:val="0"/>
                <w:sz w:val="22"/>
              </w:rPr>
            </w:pPr>
          </w:p>
        </w:tc>
        <w:tc>
          <w:tcPr>
            <w:tcW w:w="531"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kern w:val="0"/>
                <w:sz w:val="22"/>
              </w:rPr>
            </w:pPr>
          </w:p>
        </w:tc>
      </w:tr>
      <w:tr>
        <w:tblPrEx>
          <w:tblCellMar>
            <w:top w:w="0" w:type="dxa"/>
            <w:left w:w="108" w:type="dxa"/>
            <w:bottom w:w="0" w:type="dxa"/>
            <w:right w:w="108" w:type="dxa"/>
          </w:tblCellMar>
        </w:tblPrEx>
        <w:trPr>
          <w:trHeight w:val="344" w:hRule="atLeast"/>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集体土地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枫亭镇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东宅村</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8.5467</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8.5467</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8.1334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 xml:space="preserve">0.0000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0.0000</w:t>
            </w:r>
          </w:p>
        </w:tc>
      </w:tr>
      <w:tr>
        <w:tblPrEx>
          <w:tblCellMar>
            <w:top w:w="0" w:type="dxa"/>
            <w:left w:w="108" w:type="dxa"/>
            <w:bottom w:w="0" w:type="dxa"/>
            <w:right w:w="108" w:type="dxa"/>
          </w:tblCellMar>
        </w:tblPrEx>
        <w:trPr>
          <w:trHeight w:val="194" w:hRule="atLeast"/>
        </w:trPr>
        <w:tc>
          <w:tcPr>
            <w:tcW w:w="776"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rPr>
                <w:rFonts w:ascii="宋体" w:hAnsi="宋体" w:cs="宋体"/>
                <w:kern w:val="0"/>
                <w:sz w:val="22"/>
              </w:rPr>
            </w:pP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枫亭镇</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下社村</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29.1382</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29.1382</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27.9867</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 xml:space="preserve">0.0000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 xml:space="preserve">0.0000 </w:t>
            </w:r>
          </w:p>
        </w:tc>
      </w:tr>
      <w:tr>
        <w:tblPrEx>
          <w:tblCellMar>
            <w:top w:w="0" w:type="dxa"/>
            <w:left w:w="108" w:type="dxa"/>
            <w:bottom w:w="0" w:type="dxa"/>
            <w:right w:w="108" w:type="dxa"/>
          </w:tblCellMar>
        </w:tblPrEx>
        <w:trPr>
          <w:trHeight w:val="288" w:hRule="atLeast"/>
        </w:trPr>
        <w:tc>
          <w:tcPr>
            <w:tcW w:w="22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集体土地小计</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37.6849</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37.6849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36.1201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w:t>
            </w:r>
            <w:r>
              <w:rPr>
                <w:rFonts w:ascii="宋体" w:hAnsi="宋体" w:cs="宋体"/>
                <w:kern w:val="0"/>
                <w:sz w:val="22"/>
                <w:lang w:bidi="ar"/>
              </w:rPr>
              <w:t>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 xml:space="preserve">0.0000 </w:t>
            </w:r>
          </w:p>
        </w:tc>
      </w:tr>
      <w:tr>
        <w:tblPrEx>
          <w:tblCellMar>
            <w:top w:w="0" w:type="dxa"/>
            <w:left w:w="108" w:type="dxa"/>
            <w:bottom w:w="0" w:type="dxa"/>
            <w:right w:w="108" w:type="dxa"/>
          </w:tblCellMar>
        </w:tblPrEx>
        <w:trPr>
          <w:trHeight w:val="288" w:hRule="atLeast"/>
        </w:trPr>
        <w:tc>
          <w:tcPr>
            <w:tcW w:w="22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国有土地小计</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0.0025</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0.0000</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w:t>
            </w:r>
            <w:r>
              <w:rPr>
                <w:rFonts w:ascii="宋体" w:hAnsi="宋体" w:cs="宋体"/>
                <w:kern w:val="0"/>
                <w:sz w:val="22"/>
                <w:lang w:bidi="ar"/>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0.0000</w:t>
            </w:r>
          </w:p>
        </w:tc>
      </w:tr>
      <w:tr>
        <w:tblPrEx>
          <w:tblCellMar>
            <w:top w:w="0" w:type="dxa"/>
            <w:left w:w="108" w:type="dxa"/>
            <w:bottom w:w="0" w:type="dxa"/>
            <w:right w:w="108" w:type="dxa"/>
          </w:tblCellMar>
        </w:tblPrEx>
        <w:trPr>
          <w:trHeight w:val="288" w:hRule="atLeast"/>
        </w:trPr>
        <w:tc>
          <w:tcPr>
            <w:tcW w:w="22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rPr>
              <w:t>总计</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37.6874</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37.6849</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36.1201</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0.0025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22"/>
              </w:rPr>
            </w:pPr>
            <w:r>
              <w:rPr>
                <w:rFonts w:hint="eastAsia" w:ascii="宋体" w:hAnsi="宋体" w:cs="宋体"/>
                <w:kern w:val="0"/>
                <w:sz w:val="22"/>
                <w:lang w:bidi="ar"/>
              </w:rPr>
              <w:t xml:space="preserve">0.0000 </w:t>
            </w:r>
          </w:p>
        </w:tc>
      </w:tr>
    </w:tbl>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5"/>
        <w:ind w:firstLine="482"/>
      </w:pPr>
      <w:bookmarkStart w:id="82" w:name="_Toc32074"/>
      <w:bookmarkStart w:id="83" w:name="_Toc67952620"/>
      <w:r>
        <w:rPr>
          <w:rFonts w:hint="eastAsia"/>
        </w:rPr>
        <w:t>附表2</w:t>
      </w:r>
      <w:r>
        <w:t xml:space="preserve">  </w:t>
      </w:r>
      <w:r>
        <w:rPr>
          <w:rFonts w:hint="eastAsia"/>
        </w:rPr>
        <w:t>地块用途、面积及实现功能统计表</w:t>
      </w:r>
      <w:bookmarkEnd w:id="82"/>
      <w:bookmarkEnd w:id="83"/>
    </w:p>
    <w:p>
      <w:pPr>
        <w:ind w:firstLine="0" w:firstLineChars="0"/>
        <w:jc w:val="right"/>
      </w:pPr>
    </w:p>
    <w:tbl>
      <w:tblPr>
        <w:tblStyle w:val="14"/>
        <w:tblpPr w:leftFromText="180" w:rightFromText="180" w:vertAnchor="text" w:horzAnchor="margin" w:tblpY="-34"/>
        <w:tblW w:w="0" w:type="auto"/>
        <w:tblInd w:w="0" w:type="dxa"/>
        <w:tblLayout w:type="fixed"/>
        <w:tblCellMar>
          <w:top w:w="0" w:type="dxa"/>
          <w:left w:w="108" w:type="dxa"/>
          <w:bottom w:w="0" w:type="dxa"/>
          <w:right w:w="108" w:type="dxa"/>
        </w:tblCellMar>
      </w:tblPr>
      <w:tblGrid>
        <w:gridCol w:w="792"/>
        <w:gridCol w:w="1471"/>
        <w:gridCol w:w="1553"/>
        <w:gridCol w:w="1459"/>
        <w:gridCol w:w="1059"/>
        <w:gridCol w:w="6135"/>
        <w:gridCol w:w="1418"/>
      </w:tblGrid>
      <w:tr>
        <w:tblPrEx>
          <w:tblCellMar>
            <w:top w:w="0" w:type="dxa"/>
            <w:left w:w="108" w:type="dxa"/>
            <w:bottom w:w="0" w:type="dxa"/>
            <w:right w:w="108" w:type="dxa"/>
          </w:tblCellMar>
        </w:tblPrEx>
        <w:trPr>
          <w:trHeight w:val="288" w:hRule="atLeast"/>
        </w:trPr>
        <w:tc>
          <w:tcPr>
            <w:tcW w:w="1388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bookmarkStart w:id="84" w:name="_Hlk76653772"/>
            <w:r>
              <w:rPr>
                <w:rFonts w:hint="eastAsia" w:ascii="宋体" w:hAnsi="宋体" w:cs="宋体"/>
                <w:kern w:val="0"/>
                <w:sz w:val="22"/>
              </w:rPr>
              <w:t>单位：公顷（%）</w:t>
            </w:r>
            <w:bookmarkEnd w:id="84"/>
          </w:p>
        </w:tc>
      </w:tr>
      <w:tr>
        <w:tblPrEx>
          <w:tblCellMar>
            <w:top w:w="0" w:type="dxa"/>
            <w:left w:w="108" w:type="dxa"/>
            <w:bottom w:w="0" w:type="dxa"/>
            <w:right w:w="108" w:type="dxa"/>
          </w:tblCellMar>
        </w:tblPrEx>
        <w:trPr>
          <w:trHeight w:val="288" w:hRule="atLeast"/>
        </w:trPr>
        <w:tc>
          <w:tcPr>
            <w:tcW w:w="7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序号</w:t>
            </w:r>
          </w:p>
        </w:tc>
        <w:tc>
          <w:tcPr>
            <w:tcW w:w="302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土地用途</w:t>
            </w:r>
          </w:p>
        </w:tc>
        <w:tc>
          <w:tcPr>
            <w:tcW w:w="14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拟用地面积</w:t>
            </w:r>
          </w:p>
        </w:tc>
        <w:tc>
          <w:tcPr>
            <w:tcW w:w="10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占比</w:t>
            </w:r>
          </w:p>
        </w:tc>
        <w:tc>
          <w:tcPr>
            <w:tcW w:w="61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实现功能</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是否公益性用地</w:t>
            </w:r>
          </w:p>
        </w:tc>
      </w:tr>
      <w:tr>
        <w:tblPrEx>
          <w:tblCellMar>
            <w:top w:w="0" w:type="dxa"/>
            <w:left w:w="108" w:type="dxa"/>
            <w:bottom w:w="0" w:type="dxa"/>
            <w:right w:w="108" w:type="dxa"/>
          </w:tblCellMar>
        </w:tblPrEx>
        <w:trPr>
          <w:trHeight w:val="582" w:hRule="atLeast"/>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kern w:val="0"/>
                <w:sz w:val="22"/>
              </w:rPr>
            </w:pPr>
          </w:p>
        </w:tc>
        <w:tc>
          <w:tcPr>
            <w:tcW w:w="147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一级类</w:t>
            </w: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二级类</w:t>
            </w:r>
          </w:p>
        </w:tc>
        <w:tc>
          <w:tcPr>
            <w:tcW w:w="14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kern w:val="0"/>
                <w:sz w:val="22"/>
              </w:rPr>
            </w:pPr>
          </w:p>
        </w:tc>
        <w:tc>
          <w:tcPr>
            <w:tcW w:w="10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kern w:val="0"/>
                <w:sz w:val="22"/>
              </w:rPr>
            </w:pPr>
          </w:p>
        </w:tc>
        <w:tc>
          <w:tcPr>
            <w:tcW w:w="613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kern w:val="0"/>
                <w:sz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kern w:val="0"/>
                <w:sz w:val="22"/>
              </w:rPr>
            </w:pPr>
          </w:p>
        </w:tc>
      </w:tr>
      <w:tr>
        <w:tblPrEx>
          <w:tblCellMar>
            <w:top w:w="0" w:type="dxa"/>
            <w:left w:w="108" w:type="dxa"/>
            <w:bottom w:w="0" w:type="dxa"/>
            <w:right w:w="108" w:type="dxa"/>
          </w:tblCellMar>
        </w:tblPrEx>
        <w:trPr>
          <w:trHeight w:val="288" w:hRule="atLeast"/>
        </w:trPr>
        <w:tc>
          <w:tcPr>
            <w:tcW w:w="7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c>
          <w:tcPr>
            <w:tcW w:w="1471" w:type="dxa"/>
            <w:vMerge w:val="restart"/>
            <w:tcBorders>
              <w:top w:val="nil"/>
              <w:left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绿地与开敞空间用地</w:t>
            </w: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防护绿地</w:t>
            </w:r>
          </w:p>
        </w:tc>
        <w:tc>
          <w:tcPr>
            <w:tcW w:w="14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1.8594</w:t>
            </w:r>
          </w:p>
        </w:tc>
        <w:tc>
          <w:tcPr>
            <w:tcW w:w="10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4.93</w:t>
            </w:r>
          </w:p>
        </w:tc>
        <w:tc>
          <w:tcPr>
            <w:tcW w:w="613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卫生、隔离、安全、生态防护功能</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858" w:hRule="atLeast"/>
        </w:trPr>
        <w:tc>
          <w:tcPr>
            <w:tcW w:w="7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2</w:t>
            </w:r>
          </w:p>
        </w:tc>
        <w:tc>
          <w:tcPr>
            <w:tcW w:w="1471" w:type="dxa"/>
            <w:vMerge w:val="continue"/>
            <w:tcBorders>
              <w:left w:val="single" w:color="auto"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hint="eastAsia" w:ascii="宋体" w:hAnsi="宋体" w:cs="宋体"/>
                <w:kern w:val="0"/>
                <w:sz w:val="22"/>
              </w:rPr>
            </w:pP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公园绿地</w:t>
            </w:r>
          </w:p>
        </w:tc>
        <w:tc>
          <w:tcPr>
            <w:tcW w:w="14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1.2080</w:t>
            </w:r>
          </w:p>
        </w:tc>
        <w:tc>
          <w:tcPr>
            <w:tcW w:w="10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3.31</w:t>
            </w:r>
          </w:p>
        </w:tc>
        <w:tc>
          <w:tcPr>
            <w:tcW w:w="613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公众开放，以游憩为主要功能，兼具生态、景观、文教、体育和应急避险等功能</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288" w:hRule="atLeast"/>
        </w:trPr>
        <w:tc>
          <w:tcPr>
            <w:tcW w:w="7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3</w:t>
            </w:r>
          </w:p>
        </w:tc>
        <w:tc>
          <w:tcPr>
            <w:tcW w:w="1471" w:type="dxa"/>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交通运输用地</w:t>
            </w: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城镇道路用地</w:t>
            </w:r>
          </w:p>
        </w:tc>
        <w:tc>
          <w:tcPr>
            <w:tcW w:w="14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8.2808</w:t>
            </w:r>
          </w:p>
        </w:tc>
        <w:tc>
          <w:tcPr>
            <w:tcW w:w="10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21.97</w:t>
            </w:r>
          </w:p>
        </w:tc>
        <w:tc>
          <w:tcPr>
            <w:tcW w:w="613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促进片区的内外交通优化，方便片区内的工人上下班通勤，完善了仙游县的城镇化建设基础骨架。</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288" w:hRule="atLeast"/>
        </w:trPr>
        <w:tc>
          <w:tcPr>
            <w:tcW w:w="7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p>
        </w:tc>
        <w:tc>
          <w:tcPr>
            <w:tcW w:w="1471" w:type="dxa"/>
            <w:vMerge w:val="continue"/>
            <w:tcBorders>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其他交通设施用地</w:t>
            </w:r>
          </w:p>
        </w:tc>
        <w:tc>
          <w:tcPr>
            <w:tcW w:w="14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3.8513</w:t>
            </w:r>
          </w:p>
        </w:tc>
        <w:tc>
          <w:tcPr>
            <w:tcW w:w="10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10.22</w:t>
            </w:r>
          </w:p>
        </w:tc>
        <w:tc>
          <w:tcPr>
            <w:tcW w:w="613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完善片区功能，为居民提供便利。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w:t>
            </w:r>
          </w:p>
        </w:tc>
      </w:tr>
      <w:tr>
        <w:tblPrEx>
          <w:tblCellMar>
            <w:top w:w="0" w:type="dxa"/>
            <w:left w:w="108" w:type="dxa"/>
            <w:bottom w:w="0" w:type="dxa"/>
            <w:right w:w="108" w:type="dxa"/>
          </w:tblCellMar>
        </w:tblPrEx>
        <w:trPr>
          <w:trHeight w:val="288" w:hRule="atLeast"/>
        </w:trPr>
        <w:tc>
          <w:tcPr>
            <w:tcW w:w="7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4</w:t>
            </w:r>
          </w:p>
        </w:tc>
        <w:tc>
          <w:tcPr>
            <w:tcW w:w="147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工矿用地</w:t>
            </w: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工业</w:t>
            </w:r>
          </w:p>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用地</w:t>
            </w:r>
          </w:p>
        </w:tc>
        <w:tc>
          <w:tcPr>
            <w:tcW w:w="14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22.4879</w:t>
            </w:r>
          </w:p>
        </w:tc>
        <w:tc>
          <w:tcPr>
            <w:tcW w:w="10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59.67</w:t>
            </w:r>
          </w:p>
        </w:tc>
        <w:tc>
          <w:tcPr>
            <w:tcW w:w="613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指工矿企业的生产车间、装备修理、自用库房及其附属设施用地，包括专用铁路、码头和附属道路、停车场等用地</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2</w:t>
            </w:r>
          </w:p>
        </w:tc>
      </w:tr>
      <w:tr>
        <w:tblPrEx>
          <w:tblCellMar>
            <w:top w:w="0" w:type="dxa"/>
            <w:left w:w="108" w:type="dxa"/>
            <w:bottom w:w="0" w:type="dxa"/>
            <w:right w:w="108" w:type="dxa"/>
          </w:tblCellMar>
        </w:tblPrEx>
        <w:trPr>
          <w:trHeight w:val="70" w:hRule="atLeast"/>
        </w:trPr>
        <w:tc>
          <w:tcPr>
            <w:tcW w:w="79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合计</w:t>
            </w:r>
          </w:p>
        </w:tc>
        <w:tc>
          <w:tcPr>
            <w:tcW w:w="1471"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p>
        </w:tc>
        <w:tc>
          <w:tcPr>
            <w:tcW w:w="155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p>
        </w:tc>
        <w:tc>
          <w:tcPr>
            <w:tcW w:w="14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37.6874</w:t>
            </w:r>
          </w:p>
        </w:tc>
        <w:tc>
          <w:tcPr>
            <w:tcW w:w="105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100</w:t>
            </w:r>
          </w:p>
        </w:tc>
        <w:tc>
          <w:tcPr>
            <w:tcW w:w="6135"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公益性用地合计</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宋体" w:hAnsi="宋体" w:cs="宋体"/>
                <w:kern w:val="0"/>
                <w:sz w:val="22"/>
              </w:rPr>
            </w:pPr>
            <w:r>
              <w:rPr>
                <w:rFonts w:hint="eastAsia" w:ascii="宋体" w:hAnsi="宋体" w:cs="宋体"/>
                <w:kern w:val="0"/>
                <w:sz w:val="22"/>
              </w:rPr>
              <w:t>40.33</w:t>
            </w:r>
          </w:p>
        </w:tc>
      </w:tr>
    </w:tbl>
    <w:p>
      <w:pPr>
        <w:ind w:firstLine="0" w:firstLineChars="0"/>
        <w:rPr>
          <w:sz w:val="21"/>
          <w:szCs w:val="21"/>
        </w:rPr>
      </w:pPr>
      <w:r>
        <w:rPr>
          <w:rFonts w:hint="eastAsia"/>
          <w:sz w:val="21"/>
          <w:szCs w:val="21"/>
        </w:rPr>
        <w:t>注：1.土地用途：按照《国土空间调查、规划、用途管制用地用海分类指南（试行）》进行划分，应与国土空间规划成果相衔接；</w:t>
      </w:r>
    </w:p>
    <w:p>
      <w:pPr>
        <w:ind w:firstLine="420"/>
        <w:rPr>
          <w:sz w:val="21"/>
          <w:szCs w:val="21"/>
        </w:rPr>
      </w:pPr>
      <w:r>
        <w:rPr>
          <w:rFonts w:hint="eastAsia"/>
          <w:sz w:val="21"/>
          <w:szCs w:val="21"/>
        </w:rPr>
        <w:t>2.实现功能：简要说明地块用途拟发挥的作用和效能；</w:t>
      </w:r>
    </w:p>
    <w:p>
      <w:pPr>
        <w:ind w:firstLine="420"/>
        <w:rPr>
          <w:sz w:val="21"/>
          <w:szCs w:val="21"/>
        </w:rPr>
      </w:pPr>
      <w:r>
        <w:rPr>
          <w:rFonts w:hint="eastAsia"/>
          <w:sz w:val="21"/>
          <w:szCs w:val="21"/>
        </w:rPr>
        <w:t>3.占比：为拟用地面积占土地征收成片开发范围面积的比例；</w:t>
      </w:r>
    </w:p>
    <w:p>
      <w:pPr>
        <w:ind w:firstLine="420"/>
        <w:rPr>
          <w:sz w:val="21"/>
          <w:szCs w:val="21"/>
        </w:rPr>
      </w:pPr>
      <w:r>
        <w:rPr>
          <w:rFonts w:hint="eastAsia"/>
          <w:sz w:val="21"/>
          <w:szCs w:val="21"/>
        </w:rPr>
        <w:t>4.是否公益性用地：公益性用地填“1”、非公益性用地填“2”，并在本列合计行填写公益性用地合计占比。</w:t>
      </w:r>
    </w:p>
    <w:p>
      <w:pPr>
        <w:pStyle w:val="5"/>
        <w:ind w:firstLine="482"/>
        <w:rPr>
          <w:rFonts w:hint="eastAsia"/>
        </w:rPr>
      </w:pPr>
      <w:bookmarkStart w:id="85" w:name="_Toc20565"/>
      <w:r>
        <w:rPr>
          <w:rFonts w:hint="eastAsia"/>
        </w:rPr>
        <w:t>附表3 拟建设项目统计</w:t>
      </w:r>
      <w:bookmarkStart w:id="87" w:name="_GoBack"/>
      <w:bookmarkEnd w:id="87"/>
      <w:r>
        <w:rPr>
          <w:rFonts w:hint="eastAsia"/>
        </w:rPr>
        <w:t>表</w:t>
      </w:r>
      <w:bookmarkEnd w:id="85"/>
    </w:p>
    <w:p>
      <w:pPr>
        <w:ind w:right="480" w:firstLine="0" w:firstLineChars="0"/>
        <w:jc w:val="right"/>
      </w:pPr>
      <w:r>
        <w:rPr>
          <w:rFonts w:hint="eastAsia"/>
        </w:rPr>
        <w:t>单位：公顷</w:t>
      </w:r>
    </w:p>
    <w:tbl>
      <w:tblPr>
        <w:tblStyle w:val="1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4507"/>
        <w:gridCol w:w="3260"/>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40" w:type="dxa"/>
            <w:vMerge w:val="restart"/>
            <w:vAlign w:val="center"/>
          </w:tcPr>
          <w:p>
            <w:pPr>
              <w:ind w:firstLine="480"/>
              <w:jc w:val="center"/>
              <w:rPr>
                <w:rFonts w:ascii="宋体" w:hAnsi="宋体"/>
                <w:szCs w:val="24"/>
              </w:rPr>
            </w:pPr>
            <w:r>
              <w:rPr>
                <w:rFonts w:hint="eastAsia" w:ascii="宋体" w:hAnsi="宋体"/>
                <w:szCs w:val="24"/>
              </w:rPr>
              <w:t>序号</w:t>
            </w:r>
          </w:p>
        </w:tc>
        <w:tc>
          <w:tcPr>
            <w:tcW w:w="4507" w:type="dxa"/>
            <w:vMerge w:val="restart"/>
            <w:vAlign w:val="center"/>
          </w:tcPr>
          <w:p>
            <w:pPr>
              <w:ind w:firstLine="480"/>
              <w:jc w:val="center"/>
              <w:rPr>
                <w:rFonts w:ascii="宋体" w:hAnsi="宋体"/>
                <w:szCs w:val="24"/>
              </w:rPr>
            </w:pPr>
            <w:r>
              <w:rPr>
                <w:rFonts w:hint="eastAsia" w:ascii="宋体" w:hAnsi="宋体"/>
                <w:szCs w:val="24"/>
              </w:rPr>
              <w:t>项目名称</w:t>
            </w:r>
          </w:p>
        </w:tc>
        <w:tc>
          <w:tcPr>
            <w:tcW w:w="3260" w:type="dxa"/>
            <w:vMerge w:val="restart"/>
            <w:vAlign w:val="center"/>
          </w:tcPr>
          <w:p>
            <w:pPr>
              <w:ind w:firstLine="480"/>
              <w:jc w:val="center"/>
              <w:rPr>
                <w:rFonts w:ascii="宋体" w:hAnsi="宋体"/>
                <w:szCs w:val="24"/>
              </w:rPr>
            </w:pPr>
            <w:r>
              <w:rPr>
                <w:rFonts w:hint="eastAsia" w:ascii="宋体" w:hAnsi="宋体"/>
                <w:szCs w:val="24"/>
              </w:rPr>
              <w:t>土地用途</w:t>
            </w:r>
          </w:p>
        </w:tc>
        <w:tc>
          <w:tcPr>
            <w:tcW w:w="3113" w:type="dxa"/>
            <w:vMerge w:val="restart"/>
            <w:vAlign w:val="center"/>
          </w:tcPr>
          <w:p>
            <w:pPr>
              <w:ind w:firstLine="480"/>
              <w:jc w:val="center"/>
              <w:rPr>
                <w:rFonts w:ascii="宋体" w:hAnsi="宋体"/>
                <w:szCs w:val="24"/>
              </w:rPr>
            </w:pPr>
            <w:r>
              <w:rPr>
                <w:rFonts w:hint="eastAsia" w:ascii="宋体" w:hAnsi="宋体"/>
                <w:szCs w:val="24"/>
              </w:rPr>
              <w:t>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440" w:type="dxa"/>
            <w:vMerge w:val="continue"/>
            <w:vAlign w:val="center"/>
          </w:tcPr>
          <w:p>
            <w:pPr>
              <w:ind w:firstLine="480"/>
              <w:jc w:val="center"/>
              <w:rPr>
                <w:rFonts w:ascii="宋体" w:hAnsi="宋体"/>
                <w:szCs w:val="24"/>
              </w:rPr>
            </w:pPr>
          </w:p>
        </w:tc>
        <w:tc>
          <w:tcPr>
            <w:tcW w:w="4507" w:type="dxa"/>
            <w:vMerge w:val="continue"/>
            <w:vAlign w:val="center"/>
          </w:tcPr>
          <w:p>
            <w:pPr>
              <w:ind w:firstLine="480"/>
              <w:jc w:val="center"/>
              <w:rPr>
                <w:rFonts w:ascii="宋体" w:hAnsi="宋体"/>
                <w:szCs w:val="24"/>
              </w:rPr>
            </w:pPr>
          </w:p>
        </w:tc>
        <w:tc>
          <w:tcPr>
            <w:tcW w:w="3260" w:type="dxa"/>
            <w:vMerge w:val="continue"/>
            <w:vAlign w:val="center"/>
          </w:tcPr>
          <w:p>
            <w:pPr>
              <w:ind w:firstLine="480"/>
              <w:jc w:val="center"/>
              <w:rPr>
                <w:rFonts w:ascii="宋体" w:hAnsi="宋体"/>
                <w:szCs w:val="24"/>
              </w:rPr>
            </w:pPr>
          </w:p>
        </w:tc>
        <w:tc>
          <w:tcPr>
            <w:tcW w:w="3113" w:type="dxa"/>
            <w:vMerge w:val="continue"/>
            <w:vAlign w:val="center"/>
          </w:tcPr>
          <w:p>
            <w:pPr>
              <w:ind w:firstLine="48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0" w:type="dxa"/>
            <w:vAlign w:val="center"/>
          </w:tcPr>
          <w:p>
            <w:pPr>
              <w:ind w:firstLine="480"/>
              <w:jc w:val="center"/>
              <w:rPr>
                <w:rFonts w:ascii="宋体" w:hAnsi="宋体"/>
                <w:szCs w:val="24"/>
              </w:rPr>
            </w:pPr>
            <w:r>
              <w:rPr>
                <w:rFonts w:hint="eastAsia" w:ascii="宋体" w:hAnsi="宋体"/>
                <w:szCs w:val="24"/>
              </w:rPr>
              <w:t>1</w:t>
            </w:r>
          </w:p>
        </w:tc>
        <w:tc>
          <w:tcPr>
            <w:tcW w:w="4507" w:type="dxa"/>
            <w:vAlign w:val="center"/>
          </w:tcPr>
          <w:p>
            <w:pPr>
              <w:ind w:firstLine="480"/>
              <w:jc w:val="center"/>
              <w:rPr>
                <w:rFonts w:ascii="宋体" w:hAnsi="宋体"/>
                <w:szCs w:val="24"/>
              </w:rPr>
            </w:pPr>
            <w:r>
              <w:rPr>
                <w:rFonts w:hint="eastAsia" w:ascii="宋体" w:hAnsi="宋体"/>
                <w:szCs w:val="24"/>
              </w:rPr>
              <w:t>慈岳新材料产业项目</w:t>
            </w:r>
          </w:p>
        </w:tc>
        <w:tc>
          <w:tcPr>
            <w:tcW w:w="3260" w:type="dxa"/>
            <w:vAlign w:val="center"/>
          </w:tcPr>
          <w:p>
            <w:pPr>
              <w:ind w:firstLine="480"/>
              <w:jc w:val="center"/>
              <w:rPr>
                <w:rFonts w:ascii="宋体" w:hAnsi="宋体"/>
                <w:szCs w:val="24"/>
              </w:rPr>
            </w:pPr>
            <w:r>
              <w:rPr>
                <w:rFonts w:hint="eastAsia" w:ascii="宋体" w:hAnsi="宋体"/>
                <w:szCs w:val="24"/>
              </w:rPr>
              <w:t>工业用地</w:t>
            </w:r>
          </w:p>
        </w:tc>
        <w:tc>
          <w:tcPr>
            <w:tcW w:w="3113" w:type="dxa"/>
          </w:tcPr>
          <w:p>
            <w:pPr>
              <w:ind w:firstLine="480"/>
              <w:jc w:val="center"/>
              <w:rPr>
                <w:rFonts w:ascii="宋体" w:hAnsi="宋体"/>
                <w:szCs w:val="24"/>
              </w:rPr>
            </w:pPr>
            <w:r>
              <w:rPr>
                <w:rFonts w:hint="eastAsia" w:ascii="宋体" w:hAnsi="宋体"/>
                <w:szCs w:val="24"/>
              </w:rPr>
              <w:t>1</w:t>
            </w:r>
            <w:r>
              <w:rPr>
                <w:rFonts w:ascii="宋体" w:hAnsi="宋体"/>
                <w:szCs w:val="24"/>
              </w:rPr>
              <w:t>1.4868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0" w:type="dxa"/>
            <w:vAlign w:val="center"/>
          </w:tcPr>
          <w:p>
            <w:pPr>
              <w:ind w:firstLine="480"/>
              <w:jc w:val="center"/>
              <w:rPr>
                <w:rFonts w:ascii="宋体" w:hAnsi="宋体"/>
                <w:szCs w:val="24"/>
              </w:rPr>
            </w:pPr>
            <w:r>
              <w:rPr>
                <w:rFonts w:hint="eastAsia" w:ascii="宋体" w:hAnsi="宋体"/>
                <w:szCs w:val="24"/>
              </w:rPr>
              <w:t>2</w:t>
            </w:r>
          </w:p>
        </w:tc>
        <w:tc>
          <w:tcPr>
            <w:tcW w:w="4507" w:type="dxa"/>
            <w:vAlign w:val="center"/>
          </w:tcPr>
          <w:p>
            <w:pPr>
              <w:ind w:firstLine="480"/>
              <w:jc w:val="center"/>
              <w:rPr>
                <w:rFonts w:ascii="宋体" w:hAnsi="宋体"/>
                <w:szCs w:val="24"/>
              </w:rPr>
            </w:pPr>
            <w:r>
              <w:rPr>
                <w:rFonts w:hint="eastAsia" w:ascii="宋体" w:hAnsi="宋体"/>
                <w:szCs w:val="24"/>
              </w:rPr>
              <w:t>慈岳中路及其他道路</w:t>
            </w:r>
          </w:p>
        </w:tc>
        <w:tc>
          <w:tcPr>
            <w:tcW w:w="3260" w:type="dxa"/>
            <w:vAlign w:val="center"/>
          </w:tcPr>
          <w:p>
            <w:pPr>
              <w:ind w:firstLine="480"/>
              <w:jc w:val="center"/>
              <w:rPr>
                <w:rFonts w:ascii="宋体" w:hAnsi="宋体"/>
                <w:szCs w:val="24"/>
              </w:rPr>
            </w:pPr>
            <w:r>
              <w:rPr>
                <w:rFonts w:hint="eastAsia" w:ascii="宋体" w:hAnsi="宋体"/>
                <w:szCs w:val="24"/>
              </w:rPr>
              <w:t>城镇道路用地</w:t>
            </w:r>
          </w:p>
        </w:tc>
        <w:tc>
          <w:tcPr>
            <w:tcW w:w="3113" w:type="dxa"/>
          </w:tcPr>
          <w:p>
            <w:pPr>
              <w:ind w:firstLine="480"/>
              <w:jc w:val="center"/>
              <w:rPr>
                <w:rFonts w:ascii="宋体" w:hAnsi="宋体"/>
                <w:szCs w:val="24"/>
              </w:rPr>
            </w:pPr>
            <w:r>
              <w:rPr>
                <w:rFonts w:hint="eastAsia" w:ascii="宋体" w:hAnsi="宋体"/>
                <w:szCs w:val="24"/>
              </w:rPr>
              <w:t>8</w:t>
            </w:r>
            <w:r>
              <w:rPr>
                <w:rFonts w:ascii="宋体" w:hAnsi="宋体"/>
                <w:szCs w:val="24"/>
              </w:rPr>
              <w:t>.2808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0" w:type="dxa"/>
            <w:vAlign w:val="center"/>
          </w:tcPr>
          <w:p>
            <w:pPr>
              <w:ind w:firstLine="480"/>
              <w:jc w:val="center"/>
              <w:rPr>
                <w:rFonts w:ascii="宋体" w:hAnsi="宋体"/>
                <w:szCs w:val="24"/>
              </w:rPr>
            </w:pPr>
            <w:r>
              <w:rPr>
                <w:rFonts w:ascii="宋体" w:hAnsi="宋体"/>
                <w:szCs w:val="24"/>
              </w:rPr>
              <w:t>3</w:t>
            </w:r>
          </w:p>
        </w:tc>
        <w:tc>
          <w:tcPr>
            <w:tcW w:w="4507" w:type="dxa"/>
            <w:vAlign w:val="center"/>
          </w:tcPr>
          <w:p>
            <w:pPr>
              <w:ind w:firstLine="480"/>
              <w:jc w:val="center"/>
              <w:rPr>
                <w:rFonts w:ascii="宋体" w:hAnsi="宋体"/>
                <w:szCs w:val="24"/>
              </w:rPr>
            </w:pPr>
            <w:r>
              <w:rPr>
                <w:rFonts w:hint="eastAsia" w:ascii="宋体" w:hAnsi="宋体"/>
                <w:szCs w:val="24"/>
              </w:rPr>
              <w:t>慈岳鞋服标准型厂房建设项目</w:t>
            </w:r>
          </w:p>
        </w:tc>
        <w:tc>
          <w:tcPr>
            <w:tcW w:w="3260" w:type="dxa"/>
            <w:vAlign w:val="center"/>
          </w:tcPr>
          <w:p>
            <w:pPr>
              <w:ind w:firstLine="480"/>
              <w:jc w:val="center"/>
              <w:rPr>
                <w:rFonts w:ascii="宋体" w:hAnsi="宋体"/>
                <w:szCs w:val="24"/>
              </w:rPr>
            </w:pPr>
            <w:r>
              <w:rPr>
                <w:rFonts w:hint="eastAsia" w:ascii="宋体" w:hAnsi="宋体"/>
                <w:szCs w:val="24"/>
              </w:rPr>
              <w:t>工业用地</w:t>
            </w:r>
          </w:p>
        </w:tc>
        <w:tc>
          <w:tcPr>
            <w:tcW w:w="3113" w:type="dxa"/>
          </w:tcPr>
          <w:p>
            <w:pPr>
              <w:ind w:firstLine="480"/>
              <w:jc w:val="center"/>
              <w:rPr>
                <w:rFonts w:ascii="宋体" w:hAnsi="宋体"/>
                <w:szCs w:val="24"/>
              </w:rPr>
            </w:pPr>
            <w:r>
              <w:rPr>
                <w:rFonts w:hint="eastAsia" w:ascii="宋体" w:hAnsi="宋体"/>
                <w:szCs w:val="24"/>
              </w:rPr>
              <w:t>1</w:t>
            </w:r>
            <w:r>
              <w:rPr>
                <w:rFonts w:ascii="宋体" w:hAnsi="宋体"/>
                <w:szCs w:val="24"/>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0" w:type="dxa"/>
            <w:vAlign w:val="center"/>
          </w:tcPr>
          <w:p>
            <w:pPr>
              <w:ind w:firstLine="480"/>
              <w:jc w:val="center"/>
              <w:rPr>
                <w:rFonts w:ascii="宋体" w:hAnsi="宋体"/>
                <w:szCs w:val="24"/>
              </w:rPr>
            </w:pPr>
            <w:r>
              <w:rPr>
                <w:rFonts w:ascii="宋体" w:hAnsi="宋体"/>
                <w:szCs w:val="24"/>
              </w:rPr>
              <w:t>4</w:t>
            </w:r>
          </w:p>
        </w:tc>
        <w:tc>
          <w:tcPr>
            <w:tcW w:w="4507" w:type="dxa"/>
            <w:vAlign w:val="center"/>
          </w:tcPr>
          <w:p>
            <w:pPr>
              <w:ind w:firstLine="480"/>
              <w:jc w:val="center"/>
              <w:rPr>
                <w:rFonts w:ascii="宋体" w:hAnsi="宋体"/>
                <w:szCs w:val="24"/>
              </w:rPr>
            </w:pPr>
            <w:r>
              <w:rPr>
                <w:rFonts w:hint="eastAsia" w:ascii="宋体" w:hAnsi="宋体"/>
                <w:szCs w:val="24"/>
              </w:rPr>
              <w:t>主干道两侧防护绿地</w:t>
            </w:r>
          </w:p>
        </w:tc>
        <w:tc>
          <w:tcPr>
            <w:tcW w:w="3260" w:type="dxa"/>
            <w:vAlign w:val="center"/>
          </w:tcPr>
          <w:p>
            <w:pPr>
              <w:ind w:firstLine="480"/>
              <w:jc w:val="center"/>
              <w:rPr>
                <w:rFonts w:ascii="宋体" w:hAnsi="宋体"/>
                <w:szCs w:val="24"/>
              </w:rPr>
            </w:pPr>
            <w:r>
              <w:rPr>
                <w:rFonts w:hint="eastAsia" w:ascii="宋体" w:hAnsi="宋体"/>
                <w:szCs w:val="24"/>
              </w:rPr>
              <w:t>防护绿地</w:t>
            </w:r>
          </w:p>
        </w:tc>
        <w:tc>
          <w:tcPr>
            <w:tcW w:w="3113" w:type="dxa"/>
          </w:tcPr>
          <w:p>
            <w:pPr>
              <w:ind w:firstLine="480"/>
              <w:jc w:val="center"/>
              <w:rPr>
                <w:rFonts w:ascii="宋体" w:hAnsi="宋体"/>
                <w:szCs w:val="24"/>
              </w:rPr>
            </w:pPr>
            <w:r>
              <w:rPr>
                <w:rFonts w:ascii="宋体" w:hAnsi="宋体"/>
                <w:szCs w:val="24"/>
              </w:rPr>
              <w:t>1.8594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0" w:type="dxa"/>
            <w:vAlign w:val="center"/>
          </w:tcPr>
          <w:p>
            <w:pPr>
              <w:ind w:firstLine="480"/>
              <w:jc w:val="center"/>
              <w:rPr>
                <w:rFonts w:ascii="宋体" w:hAnsi="宋体"/>
                <w:szCs w:val="24"/>
              </w:rPr>
            </w:pPr>
            <w:r>
              <w:rPr>
                <w:rFonts w:ascii="宋体" w:hAnsi="宋体"/>
                <w:szCs w:val="24"/>
              </w:rPr>
              <w:t>5</w:t>
            </w:r>
          </w:p>
        </w:tc>
        <w:tc>
          <w:tcPr>
            <w:tcW w:w="4507" w:type="dxa"/>
            <w:vAlign w:val="center"/>
          </w:tcPr>
          <w:p>
            <w:pPr>
              <w:ind w:firstLine="420"/>
              <w:rPr>
                <w:rFonts w:hint="eastAsia"/>
                <w:sz w:val="21"/>
                <w:szCs w:val="21"/>
              </w:rPr>
            </w:pPr>
            <w:r>
              <w:rPr>
                <w:rFonts w:hint="eastAsia"/>
                <w:sz w:val="21"/>
                <w:szCs w:val="21"/>
              </w:rPr>
              <w:t>停车场及其他交通用地</w:t>
            </w:r>
          </w:p>
        </w:tc>
        <w:tc>
          <w:tcPr>
            <w:tcW w:w="3260" w:type="dxa"/>
            <w:vAlign w:val="center"/>
          </w:tcPr>
          <w:p>
            <w:pPr>
              <w:ind w:firstLine="420"/>
              <w:jc w:val="center"/>
              <w:rPr>
                <w:rFonts w:hint="eastAsia"/>
                <w:sz w:val="21"/>
                <w:szCs w:val="21"/>
              </w:rPr>
            </w:pPr>
            <w:r>
              <w:rPr>
                <w:rFonts w:hint="eastAsia"/>
                <w:sz w:val="21"/>
                <w:szCs w:val="21"/>
              </w:rPr>
              <w:t>其他交通设施用地</w:t>
            </w:r>
          </w:p>
        </w:tc>
        <w:tc>
          <w:tcPr>
            <w:tcW w:w="3113" w:type="dxa"/>
          </w:tcPr>
          <w:p>
            <w:pPr>
              <w:ind w:firstLine="480"/>
              <w:jc w:val="center"/>
              <w:rPr>
                <w:rFonts w:ascii="宋体" w:hAnsi="宋体"/>
                <w:szCs w:val="24"/>
              </w:rPr>
            </w:pPr>
            <w:r>
              <w:rPr>
                <w:rFonts w:hint="eastAsia" w:ascii="宋体" w:hAnsi="宋体"/>
                <w:szCs w:val="24"/>
              </w:rPr>
              <w:t>3</w:t>
            </w:r>
            <w:r>
              <w:rPr>
                <w:rFonts w:ascii="宋体" w:hAnsi="宋体"/>
                <w:szCs w:val="24"/>
              </w:rPr>
              <w:t>.8513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0" w:type="dxa"/>
            <w:vAlign w:val="center"/>
          </w:tcPr>
          <w:p>
            <w:pPr>
              <w:ind w:firstLine="480"/>
              <w:jc w:val="center"/>
              <w:rPr>
                <w:rFonts w:ascii="宋体" w:hAnsi="宋体"/>
                <w:szCs w:val="24"/>
              </w:rPr>
            </w:pPr>
            <w:r>
              <w:rPr>
                <w:rFonts w:hint="eastAsia" w:ascii="宋体" w:hAnsi="宋体"/>
                <w:szCs w:val="24"/>
              </w:rPr>
              <w:t>6</w:t>
            </w:r>
          </w:p>
        </w:tc>
        <w:tc>
          <w:tcPr>
            <w:tcW w:w="4507" w:type="dxa"/>
            <w:vAlign w:val="center"/>
          </w:tcPr>
          <w:p>
            <w:pPr>
              <w:ind w:firstLine="420"/>
              <w:rPr>
                <w:rFonts w:hint="eastAsia"/>
                <w:sz w:val="21"/>
                <w:szCs w:val="21"/>
              </w:rPr>
            </w:pPr>
            <w:r>
              <w:rPr>
                <w:rFonts w:hint="eastAsia"/>
                <w:sz w:val="21"/>
                <w:szCs w:val="21"/>
              </w:rPr>
              <w:t>慈岳公园</w:t>
            </w:r>
          </w:p>
        </w:tc>
        <w:tc>
          <w:tcPr>
            <w:tcW w:w="3260" w:type="dxa"/>
            <w:vAlign w:val="center"/>
          </w:tcPr>
          <w:p>
            <w:pPr>
              <w:ind w:firstLine="420"/>
              <w:jc w:val="center"/>
              <w:rPr>
                <w:rFonts w:hint="eastAsia"/>
                <w:sz w:val="21"/>
                <w:szCs w:val="21"/>
              </w:rPr>
            </w:pPr>
            <w:r>
              <w:rPr>
                <w:rFonts w:hint="eastAsia"/>
                <w:sz w:val="21"/>
                <w:szCs w:val="21"/>
              </w:rPr>
              <w:t>公园绿地</w:t>
            </w:r>
          </w:p>
        </w:tc>
        <w:tc>
          <w:tcPr>
            <w:tcW w:w="3113" w:type="dxa"/>
          </w:tcPr>
          <w:p>
            <w:pPr>
              <w:ind w:firstLine="480"/>
              <w:jc w:val="center"/>
              <w:rPr>
                <w:rFonts w:ascii="宋体" w:hAnsi="宋体"/>
                <w:szCs w:val="24"/>
              </w:rPr>
            </w:pPr>
            <w:r>
              <w:rPr>
                <w:rFonts w:hint="eastAsia" w:ascii="宋体" w:hAnsi="宋体"/>
                <w:szCs w:val="24"/>
              </w:rPr>
              <w:t>1</w:t>
            </w:r>
            <w:r>
              <w:rPr>
                <w:rFonts w:ascii="宋体" w:hAnsi="宋体"/>
                <w:szCs w:val="24"/>
              </w:rPr>
              <w:t>.2080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7" w:type="dxa"/>
            <w:gridSpan w:val="3"/>
            <w:vAlign w:val="center"/>
          </w:tcPr>
          <w:p>
            <w:pPr>
              <w:ind w:firstLine="480"/>
              <w:jc w:val="center"/>
              <w:rPr>
                <w:rFonts w:ascii="宋体" w:hAnsi="宋体"/>
                <w:szCs w:val="24"/>
              </w:rPr>
            </w:pPr>
            <w:r>
              <w:rPr>
                <w:rFonts w:hint="eastAsia" w:ascii="宋体" w:hAnsi="宋体"/>
                <w:szCs w:val="24"/>
              </w:rPr>
              <w:t>合计</w:t>
            </w:r>
          </w:p>
        </w:tc>
        <w:tc>
          <w:tcPr>
            <w:tcW w:w="3113" w:type="dxa"/>
            <w:vAlign w:val="center"/>
          </w:tcPr>
          <w:p>
            <w:pPr>
              <w:ind w:firstLine="480"/>
              <w:jc w:val="center"/>
              <w:rPr>
                <w:rFonts w:ascii="宋体" w:hAnsi="宋体"/>
                <w:szCs w:val="24"/>
              </w:rPr>
            </w:pPr>
            <w:r>
              <w:rPr>
                <w:rFonts w:ascii="宋体" w:hAnsi="宋体"/>
                <w:szCs w:val="24"/>
              </w:rPr>
              <w:t>37.6874</w:t>
            </w:r>
          </w:p>
        </w:tc>
      </w:tr>
    </w:tbl>
    <w:p>
      <w:pPr>
        <w:ind w:firstLine="210" w:firstLineChars="100"/>
        <w:jc w:val="left"/>
        <w:rPr>
          <w:sz w:val="21"/>
          <w:szCs w:val="21"/>
        </w:rPr>
      </w:pPr>
      <w:r>
        <w:rPr>
          <w:rFonts w:hint="eastAsia"/>
          <w:sz w:val="21"/>
          <w:szCs w:val="21"/>
        </w:rPr>
        <w:t>注：按拟建设项目统计；用途统计应与《地块用途、面积及实现功能统计表》一致</w:t>
      </w:r>
    </w:p>
    <w:p>
      <w:pPr>
        <w:ind w:firstLine="420"/>
        <w:jc w:val="left"/>
        <w:rPr>
          <w:sz w:val="21"/>
          <w:szCs w:val="21"/>
        </w:rPr>
      </w:pPr>
    </w:p>
    <w:p>
      <w:pPr>
        <w:ind w:firstLine="420"/>
        <w:jc w:val="left"/>
        <w:rPr>
          <w:sz w:val="21"/>
          <w:szCs w:val="21"/>
        </w:rPr>
      </w:pPr>
    </w:p>
    <w:p>
      <w:pPr>
        <w:pStyle w:val="2"/>
        <w:ind w:left="480" w:firstLine="420"/>
      </w:pPr>
    </w:p>
    <w:p>
      <w:pPr>
        <w:ind w:firstLine="0" w:firstLineChars="0"/>
        <w:jc w:val="left"/>
        <w:rPr>
          <w:sz w:val="21"/>
          <w:szCs w:val="21"/>
        </w:rPr>
      </w:pPr>
    </w:p>
    <w:p>
      <w:pPr>
        <w:pStyle w:val="5"/>
        <w:ind w:firstLine="482"/>
        <w:rPr>
          <w:rFonts w:asciiTheme="minorHAnsi" w:hAnsiTheme="minorHAnsi" w:cstheme="minorBidi"/>
          <w:sz w:val="21"/>
          <w:szCs w:val="21"/>
        </w:rPr>
      </w:pPr>
      <w:bookmarkStart w:id="86" w:name="_Toc781"/>
      <w:r>
        <w:rPr>
          <w:rFonts w:hint="eastAsia"/>
        </w:rPr>
        <w:t>附表4 开发时序和年度实施计划统计表</w:t>
      </w:r>
      <w:bookmarkEnd w:id="86"/>
    </w:p>
    <w:p>
      <w:pPr>
        <w:ind w:firstLine="0" w:firstLineChars="0"/>
        <w:jc w:val="right"/>
      </w:pPr>
      <w:r>
        <w:rPr>
          <w:rFonts w:hint="eastAsia"/>
        </w:rPr>
        <w:t>单位：公顷、%</w:t>
      </w:r>
    </w:p>
    <w:tbl>
      <w:tblPr>
        <w:tblStyle w:val="15"/>
        <w:tblW w:w="12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609"/>
        <w:gridCol w:w="1600"/>
        <w:gridCol w:w="1710"/>
        <w:gridCol w:w="1984"/>
        <w:gridCol w:w="226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dxa"/>
            <w:vMerge w:val="restart"/>
            <w:vAlign w:val="center"/>
          </w:tcPr>
          <w:p>
            <w:pPr>
              <w:ind w:firstLine="0" w:firstLineChars="0"/>
              <w:jc w:val="center"/>
              <w:rPr>
                <w:rFonts w:ascii="宋体" w:hAnsi="宋体" w:cs="宋体"/>
                <w:kern w:val="0"/>
                <w:szCs w:val="24"/>
              </w:rPr>
            </w:pPr>
            <w:r>
              <w:rPr>
                <w:rFonts w:hint="eastAsia" w:ascii="宋体" w:hAnsi="宋体"/>
                <w:szCs w:val="24"/>
              </w:rPr>
              <w:t>实施总面积</w:t>
            </w:r>
          </w:p>
        </w:tc>
        <w:tc>
          <w:tcPr>
            <w:tcW w:w="3209" w:type="dxa"/>
            <w:gridSpan w:val="2"/>
            <w:vAlign w:val="center"/>
          </w:tcPr>
          <w:p>
            <w:pPr>
              <w:ind w:firstLine="266" w:firstLineChars="111"/>
              <w:jc w:val="center"/>
              <w:rPr>
                <w:rFonts w:ascii="宋体" w:hAnsi="宋体" w:cs="宋体"/>
                <w:kern w:val="0"/>
                <w:szCs w:val="24"/>
              </w:rPr>
            </w:pPr>
            <w:r>
              <w:rPr>
                <w:rFonts w:hint="eastAsia" w:ascii="宋体" w:hAnsi="宋体"/>
                <w:szCs w:val="24"/>
              </w:rPr>
              <w:t>202</w:t>
            </w:r>
            <w:r>
              <w:rPr>
                <w:rFonts w:ascii="宋体" w:hAnsi="宋体"/>
                <w:szCs w:val="24"/>
              </w:rPr>
              <w:t>2</w:t>
            </w:r>
            <w:r>
              <w:rPr>
                <w:rFonts w:hint="eastAsia" w:ascii="宋体" w:hAnsi="宋体"/>
                <w:szCs w:val="24"/>
              </w:rPr>
              <w:t>年</w:t>
            </w:r>
          </w:p>
        </w:tc>
        <w:tc>
          <w:tcPr>
            <w:tcW w:w="3694" w:type="dxa"/>
            <w:gridSpan w:val="2"/>
            <w:vAlign w:val="center"/>
          </w:tcPr>
          <w:p>
            <w:pPr>
              <w:ind w:firstLine="266" w:firstLineChars="111"/>
              <w:jc w:val="center"/>
              <w:rPr>
                <w:rFonts w:ascii="宋体" w:hAnsi="宋体" w:cs="宋体"/>
                <w:kern w:val="0"/>
                <w:szCs w:val="24"/>
              </w:rPr>
            </w:pPr>
            <w:r>
              <w:rPr>
                <w:rFonts w:hint="eastAsia" w:ascii="宋体" w:hAnsi="宋体"/>
                <w:szCs w:val="24"/>
              </w:rPr>
              <w:t>202</w:t>
            </w:r>
            <w:r>
              <w:rPr>
                <w:rFonts w:ascii="宋体" w:hAnsi="宋体"/>
                <w:szCs w:val="24"/>
              </w:rPr>
              <w:t>3</w:t>
            </w:r>
            <w:r>
              <w:rPr>
                <w:rFonts w:hint="eastAsia" w:ascii="宋体" w:hAnsi="宋体"/>
                <w:szCs w:val="24"/>
              </w:rPr>
              <w:t>年</w:t>
            </w:r>
          </w:p>
        </w:tc>
        <w:tc>
          <w:tcPr>
            <w:tcW w:w="4116" w:type="dxa"/>
            <w:gridSpan w:val="2"/>
            <w:vAlign w:val="center"/>
          </w:tcPr>
          <w:p>
            <w:pPr>
              <w:ind w:firstLine="266" w:firstLineChars="111"/>
              <w:jc w:val="center"/>
              <w:rPr>
                <w:rFonts w:ascii="宋体" w:hAnsi="宋体" w:cs="宋体"/>
                <w:kern w:val="0"/>
                <w:szCs w:val="24"/>
              </w:rPr>
            </w:pPr>
            <w:r>
              <w:rPr>
                <w:rFonts w:hint="eastAsia" w:ascii="宋体" w:hAnsi="宋体"/>
                <w:szCs w:val="24"/>
              </w:rPr>
              <w:t>202</w:t>
            </w:r>
            <w:r>
              <w:rPr>
                <w:rFonts w:ascii="宋体" w:hAnsi="宋体"/>
                <w:szCs w:val="24"/>
              </w:rPr>
              <w:t>4</w:t>
            </w:r>
            <w:r>
              <w:rPr>
                <w:rFonts w:hint="eastAsia" w:ascii="宋体" w:hAnsi="宋体"/>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dxa"/>
            <w:vMerge w:val="continue"/>
            <w:vAlign w:val="center"/>
          </w:tcPr>
          <w:p>
            <w:pPr>
              <w:ind w:firstLine="480"/>
              <w:jc w:val="center"/>
              <w:rPr>
                <w:rFonts w:ascii="宋体" w:hAnsi="宋体" w:cs="宋体"/>
                <w:kern w:val="0"/>
                <w:szCs w:val="24"/>
              </w:rPr>
            </w:pPr>
          </w:p>
        </w:tc>
        <w:tc>
          <w:tcPr>
            <w:tcW w:w="1609" w:type="dxa"/>
            <w:vAlign w:val="center"/>
          </w:tcPr>
          <w:p>
            <w:pPr>
              <w:ind w:firstLine="0" w:firstLineChars="0"/>
              <w:jc w:val="center"/>
              <w:rPr>
                <w:rFonts w:ascii="宋体" w:hAnsi="宋体" w:cs="宋体"/>
                <w:kern w:val="0"/>
                <w:szCs w:val="24"/>
              </w:rPr>
            </w:pPr>
            <w:r>
              <w:rPr>
                <w:rFonts w:hint="eastAsia" w:ascii="宋体" w:hAnsi="宋体"/>
                <w:szCs w:val="24"/>
              </w:rPr>
              <w:t>完成面积</w:t>
            </w:r>
          </w:p>
        </w:tc>
        <w:tc>
          <w:tcPr>
            <w:tcW w:w="1600" w:type="dxa"/>
            <w:vAlign w:val="center"/>
          </w:tcPr>
          <w:p>
            <w:pPr>
              <w:ind w:firstLine="0" w:firstLineChars="0"/>
              <w:jc w:val="center"/>
              <w:rPr>
                <w:rFonts w:ascii="宋体" w:hAnsi="宋体" w:cs="宋体"/>
                <w:kern w:val="0"/>
                <w:szCs w:val="24"/>
              </w:rPr>
            </w:pPr>
            <w:r>
              <w:rPr>
                <w:rFonts w:hint="eastAsia" w:ascii="宋体" w:hAnsi="宋体"/>
                <w:szCs w:val="24"/>
              </w:rPr>
              <w:t>比例</w:t>
            </w:r>
          </w:p>
        </w:tc>
        <w:tc>
          <w:tcPr>
            <w:tcW w:w="1710" w:type="dxa"/>
            <w:vAlign w:val="center"/>
          </w:tcPr>
          <w:p>
            <w:pPr>
              <w:ind w:firstLine="0" w:firstLineChars="0"/>
              <w:jc w:val="center"/>
              <w:rPr>
                <w:rFonts w:ascii="宋体" w:hAnsi="宋体" w:cs="宋体"/>
                <w:kern w:val="0"/>
                <w:szCs w:val="24"/>
              </w:rPr>
            </w:pPr>
            <w:r>
              <w:rPr>
                <w:rFonts w:hint="eastAsia" w:ascii="宋体" w:hAnsi="宋体"/>
                <w:szCs w:val="24"/>
              </w:rPr>
              <w:t>完成面积</w:t>
            </w:r>
          </w:p>
        </w:tc>
        <w:tc>
          <w:tcPr>
            <w:tcW w:w="1984" w:type="dxa"/>
            <w:vAlign w:val="center"/>
          </w:tcPr>
          <w:p>
            <w:pPr>
              <w:ind w:firstLine="0" w:firstLineChars="0"/>
              <w:jc w:val="center"/>
              <w:rPr>
                <w:rFonts w:ascii="宋体" w:hAnsi="宋体" w:cs="宋体"/>
                <w:kern w:val="0"/>
                <w:szCs w:val="24"/>
              </w:rPr>
            </w:pPr>
            <w:r>
              <w:rPr>
                <w:rFonts w:hint="eastAsia" w:ascii="宋体" w:hAnsi="宋体" w:cs="宋体"/>
                <w:kern w:val="0"/>
                <w:szCs w:val="24"/>
              </w:rPr>
              <w:t>比例</w:t>
            </w:r>
          </w:p>
        </w:tc>
        <w:tc>
          <w:tcPr>
            <w:tcW w:w="2268" w:type="dxa"/>
            <w:vAlign w:val="center"/>
          </w:tcPr>
          <w:p>
            <w:pPr>
              <w:ind w:firstLine="0" w:firstLineChars="0"/>
              <w:jc w:val="center"/>
              <w:rPr>
                <w:rFonts w:ascii="宋体" w:hAnsi="宋体" w:cs="宋体"/>
                <w:kern w:val="0"/>
                <w:szCs w:val="24"/>
              </w:rPr>
            </w:pPr>
            <w:r>
              <w:rPr>
                <w:rFonts w:hint="eastAsia" w:ascii="宋体" w:hAnsi="宋体"/>
                <w:szCs w:val="24"/>
              </w:rPr>
              <w:t>完成面积</w:t>
            </w:r>
          </w:p>
        </w:tc>
        <w:tc>
          <w:tcPr>
            <w:tcW w:w="1848" w:type="dxa"/>
            <w:vAlign w:val="center"/>
          </w:tcPr>
          <w:p>
            <w:pPr>
              <w:ind w:firstLine="0" w:firstLineChars="0"/>
              <w:jc w:val="center"/>
              <w:rPr>
                <w:rFonts w:ascii="宋体" w:hAnsi="宋体" w:cs="宋体"/>
                <w:kern w:val="0"/>
                <w:szCs w:val="24"/>
              </w:rPr>
            </w:pPr>
            <w:r>
              <w:rPr>
                <w:rFonts w:hint="eastAsia" w:ascii="宋体" w:hAnsi="宋体"/>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9" w:type="dxa"/>
            <w:vAlign w:val="center"/>
          </w:tcPr>
          <w:p>
            <w:pPr>
              <w:ind w:firstLine="0" w:firstLineChars="0"/>
              <w:jc w:val="center"/>
              <w:rPr>
                <w:rFonts w:ascii="宋体" w:hAnsi="宋体" w:cs="宋体"/>
                <w:kern w:val="0"/>
                <w:szCs w:val="24"/>
              </w:rPr>
            </w:pPr>
            <w:r>
              <w:rPr>
                <w:rFonts w:ascii="宋体" w:hAnsi="宋体"/>
                <w:szCs w:val="24"/>
              </w:rPr>
              <w:t>37.6874</w:t>
            </w:r>
          </w:p>
        </w:tc>
        <w:tc>
          <w:tcPr>
            <w:tcW w:w="1609" w:type="dxa"/>
            <w:vAlign w:val="center"/>
          </w:tcPr>
          <w:p>
            <w:pPr>
              <w:ind w:firstLine="0" w:firstLineChars="0"/>
              <w:jc w:val="center"/>
              <w:rPr>
                <w:rFonts w:ascii="宋体" w:hAnsi="宋体"/>
                <w:szCs w:val="24"/>
              </w:rPr>
            </w:pPr>
            <w:r>
              <w:rPr>
                <w:rFonts w:hint="eastAsia" w:ascii="宋体" w:hAnsi="宋体"/>
                <w:szCs w:val="24"/>
              </w:rPr>
              <w:t>11.4868</w:t>
            </w:r>
          </w:p>
        </w:tc>
        <w:tc>
          <w:tcPr>
            <w:tcW w:w="1600" w:type="dxa"/>
            <w:vAlign w:val="center"/>
          </w:tcPr>
          <w:p>
            <w:pPr>
              <w:ind w:firstLine="0" w:firstLineChars="0"/>
              <w:jc w:val="center"/>
              <w:rPr>
                <w:rFonts w:ascii="宋体" w:hAnsi="宋体"/>
                <w:szCs w:val="24"/>
              </w:rPr>
            </w:pPr>
            <w:r>
              <w:rPr>
                <w:rFonts w:hint="eastAsia" w:ascii="宋体" w:hAnsi="宋体"/>
                <w:szCs w:val="24"/>
              </w:rPr>
              <w:t>30.48</w:t>
            </w:r>
          </w:p>
        </w:tc>
        <w:tc>
          <w:tcPr>
            <w:tcW w:w="1710" w:type="dxa"/>
            <w:vAlign w:val="center"/>
          </w:tcPr>
          <w:p>
            <w:pPr>
              <w:pStyle w:val="2"/>
              <w:ind w:left="199" w:leftChars="83" w:firstLine="199" w:firstLineChars="83"/>
              <w:rPr>
                <w:rFonts w:ascii="宋体" w:hAnsi="宋体"/>
                <w:sz w:val="24"/>
                <w:szCs w:val="24"/>
              </w:rPr>
            </w:pPr>
            <w:r>
              <w:rPr>
                <w:rFonts w:ascii="宋体" w:hAnsi="宋体"/>
                <w:sz w:val="24"/>
                <w:szCs w:val="24"/>
              </w:rPr>
              <w:t>11.3482</w:t>
            </w:r>
          </w:p>
        </w:tc>
        <w:tc>
          <w:tcPr>
            <w:tcW w:w="1984" w:type="dxa"/>
            <w:vAlign w:val="center"/>
          </w:tcPr>
          <w:p>
            <w:pPr>
              <w:ind w:firstLine="480"/>
              <w:rPr>
                <w:rFonts w:ascii="宋体" w:hAnsi="宋体"/>
                <w:szCs w:val="24"/>
              </w:rPr>
            </w:pPr>
            <w:r>
              <w:rPr>
                <w:rFonts w:hint="eastAsia" w:ascii="宋体" w:hAnsi="宋体"/>
                <w:szCs w:val="24"/>
              </w:rPr>
              <w:t>30.11</w:t>
            </w:r>
          </w:p>
        </w:tc>
        <w:tc>
          <w:tcPr>
            <w:tcW w:w="2268" w:type="dxa"/>
            <w:vAlign w:val="center"/>
          </w:tcPr>
          <w:p>
            <w:pPr>
              <w:ind w:firstLine="0" w:firstLineChars="0"/>
              <w:jc w:val="center"/>
              <w:rPr>
                <w:rFonts w:ascii="宋体" w:hAnsi="宋体"/>
                <w:szCs w:val="24"/>
              </w:rPr>
            </w:pPr>
            <w:r>
              <w:rPr>
                <w:rFonts w:ascii="宋体" w:hAnsi="宋体"/>
                <w:szCs w:val="24"/>
              </w:rPr>
              <w:t>14.8524</w:t>
            </w:r>
          </w:p>
        </w:tc>
        <w:tc>
          <w:tcPr>
            <w:tcW w:w="1848" w:type="dxa"/>
            <w:vAlign w:val="center"/>
          </w:tcPr>
          <w:p>
            <w:pPr>
              <w:ind w:firstLine="0" w:firstLineChars="0"/>
              <w:jc w:val="center"/>
              <w:rPr>
                <w:rFonts w:ascii="宋体" w:hAnsi="宋体"/>
                <w:szCs w:val="24"/>
              </w:rPr>
            </w:pPr>
            <w:r>
              <w:rPr>
                <w:rFonts w:hint="eastAsia" w:ascii="宋体" w:hAnsi="宋体"/>
                <w:szCs w:val="24"/>
              </w:rPr>
              <w:t>39.41</w:t>
            </w:r>
          </w:p>
        </w:tc>
      </w:tr>
    </w:tbl>
    <w:p>
      <w:pPr>
        <w:ind w:firstLine="420"/>
        <w:rPr>
          <w:sz w:val="21"/>
          <w:szCs w:val="21"/>
        </w:rPr>
      </w:pPr>
      <w:r>
        <w:rPr>
          <w:rFonts w:hint="eastAsia"/>
          <w:sz w:val="21"/>
          <w:szCs w:val="21"/>
        </w:rPr>
        <w:t>注：实施总面积与附表3合计面积一致。</w:t>
      </w:r>
    </w:p>
    <w:p>
      <w:pPr>
        <w:ind w:firstLine="420"/>
        <w:rPr>
          <w:sz w:val="21"/>
          <w:szCs w:val="21"/>
        </w:rPr>
      </w:pPr>
    </w:p>
    <w:p>
      <w:pPr>
        <w:pStyle w:val="2"/>
        <w:ind w:left="480" w:firstLine="420"/>
      </w:pPr>
    </w:p>
    <w:sectPr>
      <w:pgSz w:w="16838" w:h="11906" w:orient="landscape"/>
      <w:pgMar w:top="1797" w:right="1440" w:bottom="1797" w:left="1440" w:header="851" w:footer="992" w:gutter="0"/>
      <w:pgNumType w:start="1"/>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046302"/>
    </w:sdtPr>
    <w:sdtContent>
      <w:p>
        <w:pPr>
          <w:pStyle w:val="9"/>
          <w:ind w:firstLine="360"/>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8</w:t>
        </w:r>
        <w:r>
          <w:rPr>
            <w:rFonts w:ascii="Times New Roman" w:hAnsi="Times New Roman" w:cs="Times New Roman"/>
          </w:rPr>
          <w:fldChar w:fldCharType="end"/>
        </w:r>
      </w:p>
    </w:sdtContent>
  </w:sdt>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ind w:firstLine="480"/>
      <w:rPr>
        <w:rFonts w:ascii="宋体" w:hAnsi="宋体"/>
        <w:sz w:val="24"/>
        <w:szCs w:val="24"/>
      </w:rPr>
    </w:pPr>
    <w:r>
      <w:rPr>
        <w:rFonts w:hint="eastAsia" w:ascii="宋体" w:hAnsi="宋体"/>
        <w:sz w:val="24"/>
        <w:szCs w:val="24"/>
      </w:rPr>
      <w:t>莆田市仙游县202</w:t>
    </w:r>
    <w:r>
      <w:rPr>
        <w:rFonts w:ascii="宋体" w:hAnsi="宋体"/>
        <w:sz w:val="24"/>
        <w:szCs w:val="24"/>
      </w:rPr>
      <w:t>2</w:t>
    </w:r>
    <w:r>
      <w:rPr>
        <w:rFonts w:hint="eastAsia" w:ascii="宋体" w:hAnsi="宋体"/>
        <w:sz w:val="24"/>
        <w:szCs w:val="24"/>
      </w:rPr>
      <w:t>年度第五批次土地征收成片开发方案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C8230"/>
    <w:multiLevelType w:val="singleLevel"/>
    <w:tmpl w:val="B97C823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doNotValidateAgainstSchema/>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OWFhY2NiZDk0ZWZhZWZkNzJlOGIwMjY4MTcyMjMifQ=="/>
  </w:docVars>
  <w:rsids>
    <w:rsidRoot w:val="00172A27"/>
    <w:rsid w:val="00000B1F"/>
    <w:rsid w:val="00000BB5"/>
    <w:rsid w:val="00005ADA"/>
    <w:rsid w:val="0000608E"/>
    <w:rsid w:val="0002451D"/>
    <w:rsid w:val="000269E3"/>
    <w:rsid w:val="000450D0"/>
    <w:rsid w:val="000544B0"/>
    <w:rsid w:val="0005608F"/>
    <w:rsid w:val="0006669E"/>
    <w:rsid w:val="00074FCC"/>
    <w:rsid w:val="000906E0"/>
    <w:rsid w:val="00091064"/>
    <w:rsid w:val="00092C12"/>
    <w:rsid w:val="000B09FC"/>
    <w:rsid w:val="000B1AB7"/>
    <w:rsid w:val="000B7E09"/>
    <w:rsid w:val="000C30D7"/>
    <w:rsid w:val="000D0EE5"/>
    <w:rsid w:val="000E3F2F"/>
    <w:rsid w:val="000F303B"/>
    <w:rsid w:val="001040BA"/>
    <w:rsid w:val="00133851"/>
    <w:rsid w:val="00137752"/>
    <w:rsid w:val="001438A2"/>
    <w:rsid w:val="0014589F"/>
    <w:rsid w:val="00164886"/>
    <w:rsid w:val="00172A27"/>
    <w:rsid w:val="001761B9"/>
    <w:rsid w:val="0017751A"/>
    <w:rsid w:val="00184697"/>
    <w:rsid w:val="00185DAB"/>
    <w:rsid w:val="00196A47"/>
    <w:rsid w:val="001A0577"/>
    <w:rsid w:val="001A0961"/>
    <w:rsid w:val="001B126E"/>
    <w:rsid w:val="001C376E"/>
    <w:rsid w:val="001C47C6"/>
    <w:rsid w:val="001E1147"/>
    <w:rsid w:val="001F142D"/>
    <w:rsid w:val="00200AC9"/>
    <w:rsid w:val="002065FE"/>
    <w:rsid w:val="00210672"/>
    <w:rsid w:val="002108DC"/>
    <w:rsid w:val="00212526"/>
    <w:rsid w:val="00217624"/>
    <w:rsid w:val="00220A69"/>
    <w:rsid w:val="0023582C"/>
    <w:rsid w:val="00241D5B"/>
    <w:rsid w:val="002564DA"/>
    <w:rsid w:val="0025718E"/>
    <w:rsid w:val="00263FDB"/>
    <w:rsid w:val="00277588"/>
    <w:rsid w:val="00277995"/>
    <w:rsid w:val="00287CE7"/>
    <w:rsid w:val="002920B5"/>
    <w:rsid w:val="002A3CCA"/>
    <w:rsid w:val="002D265C"/>
    <w:rsid w:val="002E33C7"/>
    <w:rsid w:val="002F17FC"/>
    <w:rsid w:val="002F4DA8"/>
    <w:rsid w:val="002F5126"/>
    <w:rsid w:val="002F6657"/>
    <w:rsid w:val="00313DD1"/>
    <w:rsid w:val="00324295"/>
    <w:rsid w:val="00335E82"/>
    <w:rsid w:val="003443D6"/>
    <w:rsid w:val="00344E3F"/>
    <w:rsid w:val="00350CAA"/>
    <w:rsid w:val="00356BD7"/>
    <w:rsid w:val="00360FCF"/>
    <w:rsid w:val="00373523"/>
    <w:rsid w:val="00373FF4"/>
    <w:rsid w:val="003758B7"/>
    <w:rsid w:val="003926A2"/>
    <w:rsid w:val="00397070"/>
    <w:rsid w:val="003A349B"/>
    <w:rsid w:val="003A546F"/>
    <w:rsid w:val="003A55E8"/>
    <w:rsid w:val="003C014B"/>
    <w:rsid w:val="003D6781"/>
    <w:rsid w:val="003E0F8F"/>
    <w:rsid w:val="003E5B75"/>
    <w:rsid w:val="003E6847"/>
    <w:rsid w:val="003E6944"/>
    <w:rsid w:val="003F6B75"/>
    <w:rsid w:val="0040564E"/>
    <w:rsid w:val="00411BB6"/>
    <w:rsid w:val="004263A6"/>
    <w:rsid w:val="00442DF7"/>
    <w:rsid w:val="00443E5B"/>
    <w:rsid w:val="00451E6B"/>
    <w:rsid w:val="00456BF2"/>
    <w:rsid w:val="004642C2"/>
    <w:rsid w:val="004643BD"/>
    <w:rsid w:val="00471984"/>
    <w:rsid w:val="00477EC6"/>
    <w:rsid w:val="0048742F"/>
    <w:rsid w:val="004A04C9"/>
    <w:rsid w:val="004B53A6"/>
    <w:rsid w:val="004B6863"/>
    <w:rsid w:val="004E0345"/>
    <w:rsid w:val="004E50CB"/>
    <w:rsid w:val="004F0E66"/>
    <w:rsid w:val="004F19D5"/>
    <w:rsid w:val="004F1EFC"/>
    <w:rsid w:val="004F7823"/>
    <w:rsid w:val="005044C9"/>
    <w:rsid w:val="00522185"/>
    <w:rsid w:val="00540387"/>
    <w:rsid w:val="005472F8"/>
    <w:rsid w:val="00555F51"/>
    <w:rsid w:val="00563809"/>
    <w:rsid w:val="00576EB3"/>
    <w:rsid w:val="0058098A"/>
    <w:rsid w:val="005C024A"/>
    <w:rsid w:val="005C2614"/>
    <w:rsid w:val="005C3E11"/>
    <w:rsid w:val="005C4734"/>
    <w:rsid w:val="005C4F95"/>
    <w:rsid w:val="005D3C89"/>
    <w:rsid w:val="005D47FA"/>
    <w:rsid w:val="005F3A9D"/>
    <w:rsid w:val="005F66FC"/>
    <w:rsid w:val="00615A49"/>
    <w:rsid w:val="00622FE5"/>
    <w:rsid w:val="00646F0C"/>
    <w:rsid w:val="006513D0"/>
    <w:rsid w:val="00673DB7"/>
    <w:rsid w:val="00691F7E"/>
    <w:rsid w:val="006B001D"/>
    <w:rsid w:val="006B1C1C"/>
    <w:rsid w:val="006B3529"/>
    <w:rsid w:val="006B3FDE"/>
    <w:rsid w:val="006B41FE"/>
    <w:rsid w:val="006B5DC2"/>
    <w:rsid w:val="006C5390"/>
    <w:rsid w:val="006C68AA"/>
    <w:rsid w:val="006C6B14"/>
    <w:rsid w:val="006D68DE"/>
    <w:rsid w:val="006E0A10"/>
    <w:rsid w:val="006E5FB5"/>
    <w:rsid w:val="0071038F"/>
    <w:rsid w:val="00710B47"/>
    <w:rsid w:val="00723E87"/>
    <w:rsid w:val="007248E1"/>
    <w:rsid w:val="007330B6"/>
    <w:rsid w:val="007338A7"/>
    <w:rsid w:val="00736A3C"/>
    <w:rsid w:val="00736D37"/>
    <w:rsid w:val="00737816"/>
    <w:rsid w:val="00746262"/>
    <w:rsid w:val="007646F3"/>
    <w:rsid w:val="00766027"/>
    <w:rsid w:val="00766064"/>
    <w:rsid w:val="00767857"/>
    <w:rsid w:val="00772122"/>
    <w:rsid w:val="0077640B"/>
    <w:rsid w:val="00780766"/>
    <w:rsid w:val="0078184C"/>
    <w:rsid w:val="00781BAF"/>
    <w:rsid w:val="00782F76"/>
    <w:rsid w:val="007A1E5A"/>
    <w:rsid w:val="007A7924"/>
    <w:rsid w:val="007A7CF3"/>
    <w:rsid w:val="007C7900"/>
    <w:rsid w:val="007D72F2"/>
    <w:rsid w:val="007F6003"/>
    <w:rsid w:val="00814944"/>
    <w:rsid w:val="008437BD"/>
    <w:rsid w:val="0085295E"/>
    <w:rsid w:val="008616EA"/>
    <w:rsid w:val="00865C87"/>
    <w:rsid w:val="0086763C"/>
    <w:rsid w:val="00881712"/>
    <w:rsid w:val="00881C88"/>
    <w:rsid w:val="008B24B0"/>
    <w:rsid w:val="008D1400"/>
    <w:rsid w:val="008D4D59"/>
    <w:rsid w:val="008F0C18"/>
    <w:rsid w:val="008F7395"/>
    <w:rsid w:val="009003B0"/>
    <w:rsid w:val="009053E9"/>
    <w:rsid w:val="00911EEC"/>
    <w:rsid w:val="009121D5"/>
    <w:rsid w:val="009308FD"/>
    <w:rsid w:val="00945933"/>
    <w:rsid w:val="0094648A"/>
    <w:rsid w:val="00974619"/>
    <w:rsid w:val="00976C33"/>
    <w:rsid w:val="00990E2B"/>
    <w:rsid w:val="009A07C4"/>
    <w:rsid w:val="009A1039"/>
    <w:rsid w:val="009A3596"/>
    <w:rsid w:val="009A6888"/>
    <w:rsid w:val="009A7178"/>
    <w:rsid w:val="009D0855"/>
    <w:rsid w:val="009F5F8B"/>
    <w:rsid w:val="00A32B78"/>
    <w:rsid w:val="00A43738"/>
    <w:rsid w:val="00A46DF7"/>
    <w:rsid w:val="00A519A0"/>
    <w:rsid w:val="00A65277"/>
    <w:rsid w:val="00A65DA0"/>
    <w:rsid w:val="00A66115"/>
    <w:rsid w:val="00A7339F"/>
    <w:rsid w:val="00A7473B"/>
    <w:rsid w:val="00A779AB"/>
    <w:rsid w:val="00A84E55"/>
    <w:rsid w:val="00A860BC"/>
    <w:rsid w:val="00A9393C"/>
    <w:rsid w:val="00A95A6A"/>
    <w:rsid w:val="00AB1E60"/>
    <w:rsid w:val="00AC2A2A"/>
    <w:rsid w:val="00AE50F8"/>
    <w:rsid w:val="00AF47CE"/>
    <w:rsid w:val="00B05999"/>
    <w:rsid w:val="00B10676"/>
    <w:rsid w:val="00B12610"/>
    <w:rsid w:val="00B20B17"/>
    <w:rsid w:val="00B20B94"/>
    <w:rsid w:val="00B279B3"/>
    <w:rsid w:val="00B503C2"/>
    <w:rsid w:val="00B621A3"/>
    <w:rsid w:val="00B64126"/>
    <w:rsid w:val="00B944D7"/>
    <w:rsid w:val="00B95881"/>
    <w:rsid w:val="00BA0B72"/>
    <w:rsid w:val="00BA7488"/>
    <w:rsid w:val="00BB4ED6"/>
    <w:rsid w:val="00BC4472"/>
    <w:rsid w:val="00BC452C"/>
    <w:rsid w:val="00BE6B01"/>
    <w:rsid w:val="00BF09B4"/>
    <w:rsid w:val="00C04FFC"/>
    <w:rsid w:val="00C1022E"/>
    <w:rsid w:val="00C12419"/>
    <w:rsid w:val="00C30E33"/>
    <w:rsid w:val="00C36BA1"/>
    <w:rsid w:val="00C41BF2"/>
    <w:rsid w:val="00C4305D"/>
    <w:rsid w:val="00C51AEA"/>
    <w:rsid w:val="00C533B8"/>
    <w:rsid w:val="00C53C39"/>
    <w:rsid w:val="00C565CD"/>
    <w:rsid w:val="00C67331"/>
    <w:rsid w:val="00C67502"/>
    <w:rsid w:val="00C728FA"/>
    <w:rsid w:val="00C933C0"/>
    <w:rsid w:val="00C95E49"/>
    <w:rsid w:val="00CA2210"/>
    <w:rsid w:val="00CA5DF8"/>
    <w:rsid w:val="00CB6D54"/>
    <w:rsid w:val="00CC123A"/>
    <w:rsid w:val="00CC4DC1"/>
    <w:rsid w:val="00CC599E"/>
    <w:rsid w:val="00CF3B87"/>
    <w:rsid w:val="00CF3F8C"/>
    <w:rsid w:val="00D079B3"/>
    <w:rsid w:val="00D134CF"/>
    <w:rsid w:val="00D24E74"/>
    <w:rsid w:val="00D35811"/>
    <w:rsid w:val="00D36EF4"/>
    <w:rsid w:val="00D56AEA"/>
    <w:rsid w:val="00D65480"/>
    <w:rsid w:val="00D6617C"/>
    <w:rsid w:val="00D72407"/>
    <w:rsid w:val="00D913E4"/>
    <w:rsid w:val="00D938A9"/>
    <w:rsid w:val="00DA0775"/>
    <w:rsid w:val="00DB013B"/>
    <w:rsid w:val="00DC1B6B"/>
    <w:rsid w:val="00DC1FBC"/>
    <w:rsid w:val="00DE57C6"/>
    <w:rsid w:val="00E03A39"/>
    <w:rsid w:val="00E103C9"/>
    <w:rsid w:val="00E22B00"/>
    <w:rsid w:val="00E56BE6"/>
    <w:rsid w:val="00E7395B"/>
    <w:rsid w:val="00E809EE"/>
    <w:rsid w:val="00E80A59"/>
    <w:rsid w:val="00E91B1B"/>
    <w:rsid w:val="00E9518C"/>
    <w:rsid w:val="00EA2108"/>
    <w:rsid w:val="00EA3A6F"/>
    <w:rsid w:val="00EB01C4"/>
    <w:rsid w:val="00EB0373"/>
    <w:rsid w:val="00EB3203"/>
    <w:rsid w:val="00ED648C"/>
    <w:rsid w:val="00EE031D"/>
    <w:rsid w:val="00EE2736"/>
    <w:rsid w:val="00EF7FC1"/>
    <w:rsid w:val="00F04BA3"/>
    <w:rsid w:val="00F1307F"/>
    <w:rsid w:val="00F17B94"/>
    <w:rsid w:val="00F2626F"/>
    <w:rsid w:val="00F27128"/>
    <w:rsid w:val="00F309A0"/>
    <w:rsid w:val="00F35F26"/>
    <w:rsid w:val="00F369C9"/>
    <w:rsid w:val="00F3711A"/>
    <w:rsid w:val="00F508A3"/>
    <w:rsid w:val="00F54954"/>
    <w:rsid w:val="00F5718E"/>
    <w:rsid w:val="00F628E2"/>
    <w:rsid w:val="00F66D1F"/>
    <w:rsid w:val="00F86767"/>
    <w:rsid w:val="00F90D32"/>
    <w:rsid w:val="00FA2072"/>
    <w:rsid w:val="00FA3EC0"/>
    <w:rsid w:val="00FB0D7B"/>
    <w:rsid w:val="00FC00BD"/>
    <w:rsid w:val="00FC5CEF"/>
    <w:rsid w:val="00FC6360"/>
    <w:rsid w:val="00FE1FD6"/>
    <w:rsid w:val="00FE5D15"/>
    <w:rsid w:val="00FF0B4B"/>
    <w:rsid w:val="00FF5E85"/>
    <w:rsid w:val="015F42AA"/>
    <w:rsid w:val="01B467F4"/>
    <w:rsid w:val="02007521"/>
    <w:rsid w:val="02137828"/>
    <w:rsid w:val="024D0676"/>
    <w:rsid w:val="02787441"/>
    <w:rsid w:val="02994B1D"/>
    <w:rsid w:val="02A006FE"/>
    <w:rsid w:val="02C240E6"/>
    <w:rsid w:val="02D77D4E"/>
    <w:rsid w:val="042E7320"/>
    <w:rsid w:val="0447444A"/>
    <w:rsid w:val="04F71217"/>
    <w:rsid w:val="07427738"/>
    <w:rsid w:val="07753FDD"/>
    <w:rsid w:val="084E3E20"/>
    <w:rsid w:val="09A55FD0"/>
    <w:rsid w:val="0A007290"/>
    <w:rsid w:val="0A442735"/>
    <w:rsid w:val="0B1C467F"/>
    <w:rsid w:val="0BD0587A"/>
    <w:rsid w:val="0C0D1BA9"/>
    <w:rsid w:val="0C8D20A5"/>
    <w:rsid w:val="0D153A06"/>
    <w:rsid w:val="0E7A0401"/>
    <w:rsid w:val="0FBE24AD"/>
    <w:rsid w:val="10561740"/>
    <w:rsid w:val="117E5118"/>
    <w:rsid w:val="118A52CC"/>
    <w:rsid w:val="11944A12"/>
    <w:rsid w:val="125E59FF"/>
    <w:rsid w:val="127D5895"/>
    <w:rsid w:val="12874965"/>
    <w:rsid w:val="128A3BE3"/>
    <w:rsid w:val="12B8460E"/>
    <w:rsid w:val="136223FC"/>
    <w:rsid w:val="138B2901"/>
    <w:rsid w:val="145A008B"/>
    <w:rsid w:val="14D106BF"/>
    <w:rsid w:val="159F1F19"/>
    <w:rsid w:val="15E520B5"/>
    <w:rsid w:val="166D3745"/>
    <w:rsid w:val="16A600A2"/>
    <w:rsid w:val="17110412"/>
    <w:rsid w:val="173F59CC"/>
    <w:rsid w:val="190B0338"/>
    <w:rsid w:val="192E0B6D"/>
    <w:rsid w:val="1A411EDC"/>
    <w:rsid w:val="1A6243C7"/>
    <w:rsid w:val="1BD15ED5"/>
    <w:rsid w:val="1C1C1DAA"/>
    <w:rsid w:val="1C406562"/>
    <w:rsid w:val="1CAE49E2"/>
    <w:rsid w:val="1D1A175E"/>
    <w:rsid w:val="1D2F4804"/>
    <w:rsid w:val="1DF74CB4"/>
    <w:rsid w:val="1DFC7EDD"/>
    <w:rsid w:val="1FE95AE5"/>
    <w:rsid w:val="20531BCC"/>
    <w:rsid w:val="20C016EA"/>
    <w:rsid w:val="213B67C9"/>
    <w:rsid w:val="22305A9D"/>
    <w:rsid w:val="223A1202"/>
    <w:rsid w:val="226256C6"/>
    <w:rsid w:val="230D748A"/>
    <w:rsid w:val="23111139"/>
    <w:rsid w:val="237A4D0D"/>
    <w:rsid w:val="23A43BE8"/>
    <w:rsid w:val="240406C5"/>
    <w:rsid w:val="25904C7A"/>
    <w:rsid w:val="25F53E0E"/>
    <w:rsid w:val="26523FF3"/>
    <w:rsid w:val="27695BAC"/>
    <w:rsid w:val="29436AFA"/>
    <w:rsid w:val="2953024B"/>
    <w:rsid w:val="29814903"/>
    <w:rsid w:val="298A73CB"/>
    <w:rsid w:val="2A3C53FE"/>
    <w:rsid w:val="2AA97E89"/>
    <w:rsid w:val="2BAA78E0"/>
    <w:rsid w:val="2BDE56D4"/>
    <w:rsid w:val="2C494A83"/>
    <w:rsid w:val="2D335E5A"/>
    <w:rsid w:val="2DE91FBC"/>
    <w:rsid w:val="2F11503A"/>
    <w:rsid w:val="2F306285"/>
    <w:rsid w:val="2F965E50"/>
    <w:rsid w:val="30A160B8"/>
    <w:rsid w:val="30DA6FCF"/>
    <w:rsid w:val="3178441F"/>
    <w:rsid w:val="31EE665F"/>
    <w:rsid w:val="33562E2C"/>
    <w:rsid w:val="343E5CD9"/>
    <w:rsid w:val="344F346B"/>
    <w:rsid w:val="346B23F8"/>
    <w:rsid w:val="34FC618A"/>
    <w:rsid w:val="36226EB2"/>
    <w:rsid w:val="36722878"/>
    <w:rsid w:val="368B3C31"/>
    <w:rsid w:val="370D5BD6"/>
    <w:rsid w:val="37B02B4F"/>
    <w:rsid w:val="37CC7617"/>
    <w:rsid w:val="38052593"/>
    <w:rsid w:val="3818226B"/>
    <w:rsid w:val="38922CEA"/>
    <w:rsid w:val="38CD1795"/>
    <w:rsid w:val="38D139DF"/>
    <w:rsid w:val="38FE771C"/>
    <w:rsid w:val="39202067"/>
    <w:rsid w:val="39C2618E"/>
    <w:rsid w:val="3AC3488C"/>
    <w:rsid w:val="3B4F18EC"/>
    <w:rsid w:val="3B71073B"/>
    <w:rsid w:val="3C0F1452"/>
    <w:rsid w:val="3CA00304"/>
    <w:rsid w:val="3CBE0561"/>
    <w:rsid w:val="3DB20960"/>
    <w:rsid w:val="3DC54BBF"/>
    <w:rsid w:val="3E0B2F6A"/>
    <w:rsid w:val="3E652710"/>
    <w:rsid w:val="3FC06F7B"/>
    <w:rsid w:val="408D0511"/>
    <w:rsid w:val="40DD6402"/>
    <w:rsid w:val="40F652E4"/>
    <w:rsid w:val="420571D3"/>
    <w:rsid w:val="42984830"/>
    <w:rsid w:val="42BC0792"/>
    <w:rsid w:val="432B228F"/>
    <w:rsid w:val="452C1B0C"/>
    <w:rsid w:val="459C1711"/>
    <w:rsid w:val="48561474"/>
    <w:rsid w:val="48C96D60"/>
    <w:rsid w:val="490A0F69"/>
    <w:rsid w:val="493E20A1"/>
    <w:rsid w:val="4943031D"/>
    <w:rsid w:val="49BE4555"/>
    <w:rsid w:val="49CC1782"/>
    <w:rsid w:val="49EC50B9"/>
    <w:rsid w:val="4AAE5541"/>
    <w:rsid w:val="4C3B3BAC"/>
    <w:rsid w:val="4CCC0197"/>
    <w:rsid w:val="4CE81B43"/>
    <w:rsid w:val="4D461335"/>
    <w:rsid w:val="4E8C1A0C"/>
    <w:rsid w:val="4F0F6DFC"/>
    <w:rsid w:val="4F500728"/>
    <w:rsid w:val="4FBE0253"/>
    <w:rsid w:val="52A53B83"/>
    <w:rsid w:val="52FA03A1"/>
    <w:rsid w:val="5301300E"/>
    <w:rsid w:val="535F2E45"/>
    <w:rsid w:val="53C0522E"/>
    <w:rsid w:val="54355411"/>
    <w:rsid w:val="55D372C7"/>
    <w:rsid w:val="56007EE1"/>
    <w:rsid w:val="56340743"/>
    <w:rsid w:val="57226D8B"/>
    <w:rsid w:val="578A3EEB"/>
    <w:rsid w:val="57A1203B"/>
    <w:rsid w:val="57B54837"/>
    <w:rsid w:val="58BE75FA"/>
    <w:rsid w:val="58D632BA"/>
    <w:rsid w:val="59150FB8"/>
    <w:rsid w:val="595475BE"/>
    <w:rsid w:val="5A1C7CA7"/>
    <w:rsid w:val="5C4F272B"/>
    <w:rsid w:val="5CBB1E65"/>
    <w:rsid w:val="5CCD2C44"/>
    <w:rsid w:val="5D0E17C1"/>
    <w:rsid w:val="5D7434EE"/>
    <w:rsid w:val="5DBB30FF"/>
    <w:rsid w:val="5DED5056"/>
    <w:rsid w:val="5E4C6E9E"/>
    <w:rsid w:val="5E650103"/>
    <w:rsid w:val="5F2920B0"/>
    <w:rsid w:val="5FB942DC"/>
    <w:rsid w:val="60321764"/>
    <w:rsid w:val="61334A51"/>
    <w:rsid w:val="62A11DBD"/>
    <w:rsid w:val="630B3696"/>
    <w:rsid w:val="631F247B"/>
    <w:rsid w:val="63233DA0"/>
    <w:rsid w:val="646E6DA4"/>
    <w:rsid w:val="65AC2EC3"/>
    <w:rsid w:val="65D275B2"/>
    <w:rsid w:val="66B80DFA"/>
    <w:rsid w:val="6740375A"/>
    <w:rsid w:val="67492CD0"/>
    <w:rsid w:val="67A61B2F"/>
    <w:rsid w:val="67D952B6"/>
    <w:rsid w:val="68134B2F"/>
    <w:rsid w:val="686F0963"/>
    <w:rsid w:val="68A15F0F"/>
    <w:rsid w:val="68E2148B"/>
    <w:rsid w:val="6A254DB6"/>
    <w:rsid w:val="6AE260E5"/>
    <w:rsid w:val="6C4B36E0"/>
    <w:rsid w:val="6C5D4B9D"/>
    <w:rsid w:val="6D1243DC"/>
    <w:rsid w:val="6D4B1C82"/>
    <w:rsid w:val="6D4D4F2D"/>
    <w:rsid w:val="6DEB4A28"/>
    <w:rsid w:val="6E394006"/>
    <w:rsid w:val="6ED81FEB"/>
    <w:rsid w:val="6EFA3B44"/>
    <w:rsid w:val="6F7D7C08"/>
    <w:rsid w:val="71F06965"/>
    <w:rsid w:val="7238648F"/>
    <w:rsid w:val="72695E61"/>
    <w:rsid w:val="72AC5BF3"/>
    <w:rsid w:val="73032480"/>
    <w:rsid w:val="739C37A0"/>
    <w:rsid w:val="73FB3007"/>
    <w:rsid w:val="743C085D"/>
    <w:rsid w:val="74A56F63"/>
    <w:rsid w:val="74CF0E22"/>
    <w:rsid w:val="75FA3842"/>
    <w:rsid w:val="76980290"/>
    <w:rsid w:val="77A87CE4"/>
    <w:rsid w:val="78D17CDF"/>
    <w:rsid w:val="78E53455"/>
    <w:rsid w:val="79513F74"/>
    <w:rsid w:val="79671EA4"/>
    <w:rsid w:val="7B431543"/>
    <w:rsid w:val="7B870FA5"/>
    <w:rsid w:val="7BDA4E64"/>
    <w:rsid w:val="7CF92270"/>
    <w:rsid w:val="7D2C7EBC"/>
    <w:rsid w:val="7D6119E5"/>
    <w:rsid w:val="7DB10E8A"/>
    <w:rsid w:val="7DCD6F4E"/>
    <w:rsid w:val="7E421307"/>
    <w:rsid w:val="7F511370"/>
    <w:rsid w:val="7FB758A0"/>
    <w:rsid w:val="7FD6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4"/>
      <w:szCs w:val="22"/>
      <w:lang w:val="en-US" w:eastAsia="zh-CN" w:bidi="ar-SA"/>
    </w:rPr>
  </w:style>
  <w:style w:type="paragraph" w:styleId="4">
    <w:name w:val="heading 1"/>
    <w:basedOn w:val="1"/>
    <w:next w:val="1"/>
    <w:link w:val="21"/>
    <w:qFormat/>
    <w:uiPriority w:val="9"/>
    <w:pPr>
      <w:keepNext/>
      <w:keepLines/>
      <w:spacing w:line="578" w:lineRule="auto"/>
      <w:ind w:firstLine="0" w:firstLineChars="0"/>
      <w:outlineLvl w:val="0"/>
    </w:pPr>
    <w:rPr>
      <w:b/>
      <w:bCs/>
      <w:kern w:val="44"/>
      <w:sz w:val="30"/>
      <w:szCs w:val="44"/>
    </w:rPr>
  </w:style>
  <w:style w:type="paragraph" w:styleId="5">
    <w:name w:val="heading 2"/>
    <w:basedOn w:val="1"/>
    <w:next w:val="1"/>
    <w:link w:val="22"/>
    <w:unhideWhenUsed/>
    <w:qFormat/>
    <w:uiPriority w:val="9"/>
    <w:pPr>
      <w:keepNext/>
      <w:keepLines/>
      <w:spacing w:line="416" w:lineRule="auto"/>
      <w:outlineLvl w:val="1"/>
    </w:pPr>
    <w:rPr>
      <w:rFonts w:asciiTheme="majorHAnsi" w:hAnsiTheme="majorHAnsi" w:cstheme="majorBidi"/>
      <w:b/>
      <w:bCs/>
      <w:szCs w:val="32"/>
    </w:rPr>
  </w:style>
  <w:style w:type="paragraph" w:styleId="6">
    <w:name w:val="heading 3"/>
    <w:basedOn w:val="1"/>
    <w:next w:val="1"/>
    <w:link w:val="23"/>
    <w:unhideWhenUsed/>
    <w:qFormat/>
    <w:uiPriority w:val="9"/>
    <w:pPr>
      <w:keepNext/>
      <w:keepLines/>
      <w:spacing w:line="416" w:lineRule="auto"/>
      <w:outlineLvl w:val="2"/>
    </w:pPr>
    <w:rPr>
      <w:bCs/>
      <w:szCs w:val="32"/>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style>
  <w:style w:type="paragraph" w:styleId="3">
    <w:name w:val="Body Text Indent"/>
    <w:basedOn w:val="1"/>
    <w:link w:val="27"/>
    <w:unhideWhenUsed/>
    <w:qFormat/>
    <w:uiPriority w:val="0"/>
    <w:pPr>
      <w:spacing w:after="120"/>
      <w:ind w:left="200" w:leftChars="200"/>
    </w:pPr>
    <w:rPr>
      <w:sz w:val="21"/>
    </w:rPr>
  </w:style>
  <w:style w:type="paragraph" w:styleId="7">
    <w:name w:val="toc 3"/>
    <w:basedOn w:val="1"/>
    <w:next w:val="1"/>
    <w:unhideWhenUsed/>
    <w:qFormat/>
    <w:uiPriority w:val="39"/>
    <w:pPr>
      <w:widowControl/>
      <w:spacing w:after="100" w:line="259" w:lineRule="auto"/>
      <w:ind w:left="440" w:firstLine="0" w:firstLineChars="0"/>
      <w:jc w:val="left"/>
    </w:pPr>
    <w:rPr>
      <w:rFonts w:cs="Times New Roman" w:eastAsiaTheme="minorEastAsia"/>
      <w:kern w:val="0"/>
      <w:sz w:val="22"/>
    </w:rPr>
  </w:style>
  <w:style w:type="paragraph" w:styleId="8">
    <w:name w:val="Balloon Text"/>
    <w:basedOn w:val="1"/>
    <w:link w:val="26"/>
    <w:semiHidden/>
    <w:unhideWhenUsed/>
    <w:uiPriority w:val="99"/>
    <w:pPr>
      <w:spacing w:line="240" w:lineRule="auto"/>
    </w:pPr>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296"/>
      </w:tabs>
      <w:spacing w:after="100" w:line="259" w:lineRule="auto"/>
      <w:ind w:firstLine="0" w:firstLineChars="0"/>
      <w:jc w:val="left"/>
    </w:pPr>
    <w:rPr>
      <w:rFonts w:ascii="宋体" w:hAnsi="宋体" w:cs="Times New Roman"/>
      <w:b/>
      <w:bCs/>
      <w:kern w:val="0"/>
      <w:sz w:val="28"/>
      <w:szCs w:val="28"/>
    </w:rPr>
  </w:style>
  <w:style w:type="paragraph" w:styleId="12">
    <w:name w:val="toc 2"/>
    <w:basedOn w:val="1"/>
    <w:next w:val="1"/>
    <w:unhideWhenUsed/>
    <w:qFormat/>
    <w:uiPriority w:val="39"/>
    <w:pPr>
      <w:widowControl/>
      <w:spacing w:after="100" w:line="259" w:lineRule="auto"/>
      <w:ind w:left="220" w:firstLine="0" w:firstLineChars="0"/>
      <w:jc w:val="left"/>
    </w:pPr>
    <w:rPr>
      <w:rFonts w:cs="Times New Roman" w:eastAsiaTheme="minorEastAsia"/>
      <w:kern w:val="0"/>
      <w:sz w:val="22"/>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标题 1 字符"/>
    <w:basedOn w:val="16"/>
    <w:link w:val="4"/>
    <w:qFormat/>
    <w:uiPriority w:val="9"/>
    <w:rPr>
      <w:rFonts w:eastAsia="宋体"/>
      <w:b/>
      <w:bCs/>
      <w:kern w:val="44"/>
      <w:sz w:val="30"/>
      <w:szCs w:val="44"/>
    </w:rPr>
  </w:style>
  <w:style w:type="character" w:customStyle="1" w:styleId="22">
    <w:name w:val="标题 2 字符"/>
    <w:basedOn w:val="16"/>
    <w:link w:val="5"/>
    <w:qFormat/>
    <w:uiPriority w:val="9"/>
    <w:rPr>
      <w:rFonts w:eastAsia="宋体" w:asciiTheme="majorHAnsi" w:hAnsiTheme="majorHAnsi" w:cstheme="majorBidi"/>
      <w:b/>
      <w:bCs/>
      <w:sz w:val="24"/>
      <w:szCs w:val="32"/>
    </w:rPr>
  </w:style>
  <w:style w:type="character" w:customStyle="1" w:styleId="23">
    <w:name w:val="标题 3 字符"/>
    <w:basedOn w:val="16"/>
    <w:link w:val="6"/>
    <w:qFormat/>
    <w:uiPriority w:val="9"/>
    <w:rPr>
      <w:rFonts w:eastAsia="宋体"/>
      <w:bCs/>
      <w:sz w:val="24"/>
      <w:szCs w:val="32"/>
    </w:rPr>
  </w:style>
  <w:style w:type="paragraph" w:customStyle="1" w:styleId="24">
    <w:name w:val="TOC 标题1"/>
    <w:basedOn w:val="4"/>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5">
    <w:name w:val="TOC 标题2"/>
    <w:basedOn w:val="4"/>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6">
    <w:name w:val="批注框文本 字符"/>
    <w:basedOn w:val="16"/>
    <w:link w:val="8"/>
    <w:semiHidden/>
    <w:uiPriority w:val="99"/>
    <w:rPr>
      <w:rFonts w:asciiTheme="minorHAnsi" w:hAnsiTheme="minorHAnsi" w:cstheme="minorBidi"/>
      <w:kern w:val="2"/>
      <w:sz w:val="18"/>
      <w:szCs w:val="18"/>
    </w:rPr>
  </w:style>
  <w:style w:type="character" w:customStyle="1" w:styleId="27">
    <w:name w:val="正文文本缩进 字符"/>
    <w:basedOn w:val="16"/>
    <w:link w:val="3"/>
    <w:uiPriority w:val="0"/>
    <w:rPr>
      <w:rFonts w:hint="eastAsia" w:ascii="等线" w:hAnsi="等线" w:eastAsia="等线" w:cs="Times New Roman"/>
      <w:kern w:val="2"/>
      <w:sz w:val="24"/>
      <w:szCs w:val="22"/>
    </w:rPr>
  </w:style>
  <w:style w:type="character" w:customStyle="1" w:styleId="28">
    <w:name w:val="正文文本首行缩进 2 字符"/>
    <w:basedOn w:val="27"/>
    <w:uiPriority w:val="0"/>
    <w:rPr>
      <w:rFonts w:hint="eastAsia" w:ascii="等线" w:hAnsi="等线" w:eastAsia="等线" w:cs="Times New Roman"/>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03448-A26A-4E53-859B-9DEA03AA933D}">
  <ds:schemaRefs/>
</ds:datastoreItem>
</file>

<file path=docProps/app.xml><?xml version="1.0" encoding="utf-8"?>
<Properties xmlns="http://schemas.openxmlformats.org/officeDocument/2006/extended-properties" xmlns:vt="http://schemas.openxmlformats.org/officeDocument/2006/docPropsVTypes">
  <Template>Normal.dotm</Template>
  <Company>BD</Company>
  <Pages>21</Pages>
  <Words>9445</Words>
  <Characters>10184</Characters>
  <Lines>84</Lines>
  <Paragraphs>23</Paragraphs>
  <TotalTime>22</TotalTime>
  <ScaleCrop>false</ScaleCrop>
  <LinksUpToDate>false</LinksUpToDate>
  <CharactersWithSpaces>10429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2022-05-24T03:33:00Z</dcterms:created>
  <dc:creator>1250203423@qq.com</dc:creator>
  <cp:lastModifiedBy>林晨</cp:lastModifiedBy>
  <cp:lastPrinted>2021-04-08T15:33:00Z</cp:lastPrinted>
  <dcterms:modified xsi:type="dcterms:W3CDTF">2022-06-13T01:15:41Z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F099D4F9AD9A420F92EE1EAAFE57EB43</vt:lpwstr>
  </property>
</Properties>
</file>