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rPr>
          <w:rFonts w:ascii="Calibri" w:hAnsi="Calibri" w:cs="Times New Roman"/>
          <w:sz w:val="36"/>
          <w:szCs w:val="44"/>
        </w:rPr>
      </w:pPr>
      <w:bookmarkStart w:id="0" w:name="_Toc67952574"/>
    </w:p>
    <w:p>
      <w:pPr>
        <w:spacing w:line="240" w:lineRule="auto"/>
        <w:ind w:firstLine="0" w:firstLineChars="0"/>
        <w:rPr>
          <w:rFonts w:ascii="Calibri" w:hAnsi="Calibri" w:cs="Times New Roman"/>
          <w:sz w:val="36"/>
          <w:szCs w:val="44"/>
        </w:rPr>
      </w:pPr>
    </w:p>
    <w:p>
      <w:pPr>
        <w:spacing w:line="240" w:lineRule="auto"/>
        <w:ind w:firstLine="0" w:firstLineChars="0"/>
        <w:jc w:val="center"/>
        <w:rPr>
          <w:rFonts w:ascii="Calibri" w:hAnsi="Calibri" w:cs="Times New Roman"/>
          <w:sz w:val="40"/>
          <w:szCs w:val="48"/>
        </w:rPr>
      </w:pPr>
    </w:p>
    <w:p>
      <w:pPr>
        <w:spacing w:line="240" w:lineRule="auto"/>
        <w:ind w:firstLine="0" w:firstLineChars="0"/>
        <w:jc w:val="center"/>
        <w:rPr>
          <w:rFonts w:ascii="Calibri" w:hAnsi="Calibri" w:cs="Times New Roman"/>
          <w:sz w:val="40"/>
          <w:szCs w:val="48"/>
        </w:rPr>
      </w:pP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0" w:lineRule="atLeast"/>
        <w:ind w:left="-228" w:leftChars="-95" w:right="-358" w:rightChars="-149" w:firstLine="0" w:firstLineChars="0"/>
        <w:jc w:val="center"/>
        <w:rPr>
          <w:rFonts w:hint="eastAsia" w:ascii="黑体" w:hAnsi="黑体" w:eastAsia="黑体" w:cs="黑体"/>
          <w:i w:val="0"/>
          <w:iCs w:val="0"/>
          <w:caps w:val="0"/>
          <w:color w:val="555555"/>
          <w:spacing w:val="-11"/>
          <w:sz w:val="44"/>
          <w:szCs w:val="44"/>
          <w:shd w:val="clear" w:fill="FFFFFF"/>
          <w:lang w:eastAsia="zh-CN"/>
        </w:rPr>
      </w:pPr>
      <w:r>
        <w:rPr>
          <w:rFonts w:hint="eastAsia" w:ascii="黑体" w:hAnsi="黑体" w:eastAsia="黑体" w:cs="黑体"/>
          <w:i w:val="0"/>
          <w:iCs w:val="0"/>
          <w:caps w:val="0"/>
          <w:color w:val="555555"/>
          <w:spacing w:val="-11"/>
          <w:sz w:val="44"/>
          <w:szCs w:val="44"/>
          <w:shd w:val="clear" w:fill="FFFFFF"/>
          <w:lang w:eastAsia="zh-CN"/>
        </w:rPr>
        <w:t>仙游县2022年度第十三批次土地征收成片开发方案（瑞峰片区）</w:t>
      </w:r>
    </w:p>
    <w:p>
      <w:pPr>
        <w:spacing w:line="240" w:lineRule="auto"/>
        <w:ind w:firstLine="0" w:firstLineChars="0"/>
        <w:rPr>
          <w:rFonts w:ascii="Calibri" w:hAnsi="Calibri" w:cs="Times New Roman"/>
          <w:sz w:val="36"/>
          <w:szCs w:val="44"/>
        </w:rPr>
      </w:pPr>
    </w:p>
    <w:p>
      <w:pPr>
        <w:spacing w:line="240" w:lineRule="auto"/>
        <w:ind w:firstLine="0" w:firstLineChars="0"/>
        <w:rPr>
          <w:rFonts w:ascii="Calibri" w:hAnsi="Calibri" w:cs="Times New Roman"/>
          <w:sz w:val="36"/>
          <w:szCs w:val="44"/>
        </w:rPr>
      </w:pPr>
    </w:p>
    <w:p>
      <w:pPr>
        <w:spacing w:line="240" w:lineRule="auto"/>
        <w:ind w:firstLine="0" w:firstLineChars="0"/>
        <w:rPr>
          <w:rFonts w:ascii="Calibri" w:hAnsi="Calibri" w:cs="Times New Roman"/>
          <w:sz w:val="36"/>
          <w:szCs w:val="44"/>
        </w:rPr>
      </w:pPr>
    </w:p>
    <w:p>
      <w:pPr>
        <w:spacing w:line="240" w:lineRule="auto"/>
        <w:ind w:firstLine="0" w:firstLineChars="0"/>
        <w:rPr>
          <w:rFonts w:ascii="Calibri" w:hAnsi="Calibri" w:cs="Times New Roman"/>
          <w:sz w:val="36"/>
          <w:szCs w:val="44"/>
        </w:rPr>
      </w:pPr>
    </w:p>
    <w:p>
      <w:pPr>
        <w:spacing w:line="240" w:lineRule="auto"/>
        <w:ind w:firstLine="0" w:firstLineChars="0"/>
        <w:rPr>
          <w:rFonts w:ascii="Calibri" w:hAnsi="Calibri" w:cs="Times New Roman"/>
          <w:sz w:val="36"/>
          <w:szCs w:val="44"/>
        </w:rPr>
      </w:pPr>
    </w:p>
    <w:p>
      <w:pPr>
        <w:spacing w:line="240" w:lineRule="auto"/>
        <w:ind w:firstLine="0" w:firstLineChars="0"/>
        <w:rPr>
          <w:rFonts w:ascii="Calibri" w:hAnsi="Calibri" w:cs="Times New Roman"/>
          <w:sz w:val="36"/>
          <w:szCs w:val="44"/>
        </w:rPr>
      </w:pPr>
    </w:p>
    <w:p>
      <w:pPr>
        <w:spacing w:line="240" w:lineRule="auto"/>
        <w:ind w:firstLine="0" w:firstLineChars="0"/>
        <w:rPr>
          <w:rFonts w:ascii="Calibri" w:hAnsi="Calibri" w:cs="Times New Roman"/>
          <w:sz w:val="36"/>
          <w:szCs w:val="44"/>
        </w:rPr>
      </w:pPr>
    </w:p>
    <w:p>
      <w:pPr>
        <w:spacing w:line="240" w:lineRule="auto"/>
        <w:ind w:firstLine="0" w:firstLineChars="0"/>
        <w:rPr>
          <w:rFonts w:ascii="Calibri" w:hAnsi="Calibri" w:cs="Times New Roman"/>
          <w:sz w:val="36"/>
          <w:szCs w:val="44"/>
        </w:rPr>
      </w:pPr>
    </w:p>
    <w:p>
      <w:pPr>
        <w:spacing w:line="720" w:lineRule="auto"/>
        <w:ind w:firstLine="0" w:firstLineChars="0"/>
        <w:jc w:val="center"/>
        <w:rPr>
          <w:rFonts w:ascii="微软雅黑" w:hAnsi="微软雅黑" w:eastAsia="微软雅黑" w:cs="微软雅黑"/>
          <w:sz w:val="36"/>
          <w:szCs w:val="44"/>
        </w:rPr>
      </w:pPr>
      <w:r>
        <w:rPr>
          <w:rFonts w:hint="eastAsia" w:ascii="微软雅黑" w:hAnsi="微软雅黑" w:eastAsia="微软雅黑" w:cs="微软雅黑"/>
          <w:sz w:val="36"/>
          <w:szCs w:val="44"/>
          <w:lang w:bidi="ar"/>
        </w:rPr>
        <w:t>仙游县人民政府</w:t>
      </w:r>
    </w:p>
    <w:p>
      <w:pPr>
        <w:spacing w:line="720" w:lineRule="auto"/>
        <w:ind w:firstLine="0" w:firstLineChars="0"/>
        <w:jc w:val="center"/>
        <w:rPr>
          <w:rFonts w:ascii="微软雅黑" w:hAnsi="微软雅黑" w:eastAsia="微软雅黑" w:cs="微软雅黑"/>
          <w:sz w:val="36"/>
          <w:szCs w:val="44"/>
        </w:rPr>
      </w:pPr>
      <w:r>
        <w:rPr>
          <w:rFonts w:hint="eastAsia" w:ascii="微软雅黑" w:hAnsi="微软雅黑" w:eastAsia="微软雅黑" w:cs="微软雅黑"/>
          <w:sz w:val="36"/>
          <w:szCs w:val="44"/>
          <w:lang w:bidi="ar"/>
        </w:rPr>
        <w:t>二〇二二年八月</w:t>
      </w:r>
    </w:p>
    <w:p>
      <w:pPr>
        <w:spacing w:line="720" w:lineRule="auto"/>
        <w:ind w:firstLine="0" w:firstLineChars="0"/>
        <w:jc w:val="center"/>
        <w:rPr>
          <w:rFonts w:ascii="Calibri" w:hAnsi="Calibri" w:cs="Times New Roman"/>
          <w:sz w:val="36"/>
          <w:szCs w:val="44"/>
        </w:rPr>
      </w:pPr>
    </w:p>
    <w:p>
      <w:pPr>
        <w:pStyle w:val="2"/>
      </w:pPr>
    </w:p>
    <w:sdt>
      <w:sdtPr>
        <w:rPr>
          <w:rFonts w:eastAsia="宋体" w:asciiTheme="minorHAnsi" w:hAnsiTheme="minorHAnsi" w:cstheme="minorBidi"/>
          <w:color w:val="auto"/>
          <w:kern w:val="2"/>
          <w:sz w:val="24"/>
          <w:szCs w:val="22"/>
          <w:lang w:val="zh-CN"/>
        </w:rPr>
        <w:id w:val="1025911167"/>
        <w:docPartObj>
          <w:docPartGallery w:val="Table of Contents"/>
          <w:docPartUnique/>
        </w:docPartObj>
      </w:sdtPr>
      <w:sdtEndPr>
        <w:rPr>
          <w:rFonts w:ascii="宋体" w:hAnsi="宋体" w:eastAsia="宋体" w:cstheme="minorBidi"/>
          <w:b/>
          <w:bCs/>
          <w:color w:val="auto"/>
          <w:kern w:val="2"/>
          <w:sz w:val="24"/>
          <w:szCs w:val="24"/>
          <w:lang w:val="zh-CN"/>
        </w:rPr>
      </w:sdtEndPr>
      <w:sdtContent>
        <w:p>
          <w:pPr>
            <w:pStyle w:val="24"/>
            <w:tabs>
              <w:tab w:val="left" w:pos="3660"/>
            </w:tabs>
            <w:ind w:firstLine="480"/>
            <w:jc w:val="center"/>
            <w:rPr>
              <w:color w:val="auto"/>
            </w:rPr>
          </w:pPr>
          <w:r>
            <w:rPr>
              <w:rFonts w:ascii="黑体" w:hAnsi="黑体" w:eastAsia="黑体"/>
              <w:b/>
              <w:color w:val="auto"/>
              <w:lang w:val="zh-CN"/>
            </w:rPr>
            <w:t>目</w:t>
          </w:r>
          <w:r>
            <w:rPr>
              <w:rFonts w:hint="eastAsia" w:ascii="黑体" w:hAnsi="黑体" w:eastAsia="黑体"/>
              <w:b/>
              <w:color w:val="auto"/>
            </w:rPr>
            <w:t xml:space="preserve"> </w:t>
          </w:r>
          <w:r>
            <w:rPr>
              <w:rFonts w:ascii="黑体" w:hAnsi="黑体" w:eastAsia="黑体"/>
              <w:b/>
              <w:color w:val="auto"/>
              <w:lang w:val="zh-CN"/>
            </w:rPr>
            <w:t>录</w:t>
          </w:r>
        </w:p>
        <w:p>
          <w:pPr>
            <w:pStyle w:val="11"/>
            <w:rPr>
              <w:rFonts w:asciiTheme="minorHAnsi" w:hAnsiTheme="minorHAnsi" w:eastAsiaTheme="minorEastAsia" w:cstheme="minorBidi"/>
              <w:b w:val="0"/>
              <w:bCs w:val="0"/>
              <w:kern w:val="2"/>
              <w:sz w:val="21"/>
              <w:szCs w:val="22"/>
            </w:rPr>
          </w:pPr>
          <w:r>
            <w:rPr>
              <w:b w:val="0"/>
              <w:bCs w:val="0"/>
              <w:szCs w:val="24"/>
            </w:rPr>
            <w:fldChar w:fldCharType="begin"/>
          </w:r>
          <w:r>
            <w:rPr>
              <w:b w:val="0"/>
              <w:bCs w:val="0"/>
              <w:szCs w:val="24"/>
            </w:rPr>
            <w:instrText xml:space="preserve"> TOC \o "1-2" \h \z \u </w:instrText>
          </w:r>
          <w:r>
            <w:rPr>
              <w:b w:val="0"/>
              <w:bCs w:val="0"/>
              <w:szCs w:val="24"/>
            </w:rPr>
            <w:fldChar w:fldCharType="separate"/>
          </w:r>
          <w:r>
            <w:fldChar w:fldCharType="begin"/>
          </w:r>
          <w:r>
            <w:instrText xml:space="preserve"> HYPERLINK \l "_Toc113223478" </w:instrText>
          </w:r>
          <w:r>
            <w:fldChar w:fldCharType="separate"/>
          </w:r>
          <w:r>
            <w:rPr>
              <w:rStyle w:val="18"/>
              <w:rFonts w:ascii="黑体" w:hAnsi="黑体" w:eastAsia="黑体" w:cs="黑体"/>
            </w:rPr>
            <w:t>一、概述</w:t>
          </w:r>
          <w:r>
            <w:tab/>
          </w:r>
          <w:r>
            <w:fldChar w:fldCharType="begin"/>
          </w:r>
          <w:r>
            <w:instrText xml:space="preserve"> PAGEREF _Toc113223478 \h </w:instrText>
          </w:r>
          <w:r>
            <w:fldChar w:fldCharType="separate"/>
          </w:r>
          <w:r>
            <w:t>1</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"_Toc113223479" </w:instrText>
          </w:r>
          <w:r>
            <w:fldChar w:fldCharType="separate"/>
          </w:r>
          <w:r>
            <w:rPr>
              <w:rStyle w:val="18"/>
              <w:rFonts w:ascii="楷体" w:hAnsi="楷体" w:eastAsia="楷体" w:cs="楷体"/>
            </w:rPr>
            <w:t>（一）编制背景</w:t>
          </w:r>
          <w:r>
            <w:tab/>
          </w:r>
          <w:r>
            <w:fldChar w:fldCharType="begin"/>
          </w:r>
          <w:r>
            <w:instrText xml:space="preserve"> PAGEREF _Toc113223479 \h </w:instrText>
          </w:r>
          <w:r>
            <w:fldChar w:fldCharType="separate"/>
          </w:r>
          <w:r>
            <w:t>1</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"_Toc113223480" </w:instrText>
          </w:r>
          <w:r>
            <w:fldChar w:fldCharType="separate"/>
          </w:r>
          <w:r>
            <w:rPr>
              <w:rStyle w:val="18"/>
              <w:rFonts w:ascii="楷体" w:hAnsi="楷体" w:eastAsia="楷体" w:cs="楷体"/>
            </w:rPr>
            <w:t>（二）编制原则</w:t>
          </w:r>
          <w:r>
            <w:tab/>
          </w:r>
          <w:r>
            <w:fldChar w:fldCharType="begin"/>
          </w:r>
          <w:r>
            <w:instrText xml:space="preserve"> PAGEREF _Toc113223480 \h </w:instrText>
          </w:r>
          <w:r>
            <w:fldChar w:fldCharType="separate"/>
          </w:r>
          <w:r>
            <w:t>2</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"_Toc113223481" </w:instrText>
          </w:r>
          <w:r>
            <w:fldChar w:fldCharType="separate"/>
          </w:r>
          <w:r>
            <w:rPr>
              <w:rStyle w:val="18"/>
              <w:rFonts w:ascii="楷体" w:hAnsi="楷体" w:eastAsia="楷体" w:cs="楷体"/>
            </w:rPr>
            <w:t>（三）编制依据</w:t>
          </w:r>
          <w:r>
            <w:tab/>
          </w:r>
          <w:r>
            <w:fldChar w:fldCharType="begin"/>
          </w:r>
          <w:r>
            <w:instrText xml:space="preserve"> PAGEREF _Toc113223481 \h </w:instrText>
          </w:r>
          <w:r>
            <w:fldChar w:fldCharType="separate"/>
          </w:r>
          <w:r>
            <w:t>3</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"_Toc113223482" </w:instrText>
          </w:r>
          <w:r>
            <w:fldChar w:fldCharType="separate"/>
          </w:r>
          <w:r>
            <w:rPr>
              <w:rStyle w:val="18"/>
              <w:rFonts w:ascii="黑体" w:hAnsi="黑体" w:eastAsia="黑体" w:cs="黑体"/>
            </w:rPr>
            <w:t>二、编制情况</w:t>
          </w:r>
          <w:r>
            <w:tab/>
          </w:r>
          <w:r>
            <w:fldChar w:fldCharType="begin"/>
          </w:r>
          <w:r>
            <w:instrText xml:space="preserve"> PAGEREF _Toc113223482 \h </w:instrText>
          </w:r>
          <w:r>
            <w:fldChar w:fldCharType="separate"/>
          </w:r>
          <w:r>
            <w:t>4</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"_Toc113223483" </w:instrText>
          </w:r>
          <w:r>
            <w:fldChar w:fldCharType="separate"/>
          </w:r>
          <w:r>
            <w:rPr>
              <w:rStyle w:val="18"/>
              <w:rFonts w:ascii="楷体" w:hAnsi="楷体" w:eastAsia="楷体" w:cs="楷体"/>
            </w:rPr>
            <w:t>（一）批而未供土地和闲置土地情况</w:t>
          </w:r>
          <w:r>
            <w:tab/>
          </w:r>
          <w:r>
            <w:fldChar w:fldCharType="begin"/>
          </w:r>
          <w:r>
            <w:instrText xml:space="preserve"> PAGEREF _Toc113223483 \h </w:instrText>
          </w:r>
          <w:r>
            <w:fldChar w:fldCharType="separate"/>
          </w:r>
          <w:r>
            <w:t>4</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"_Toc113223484" </w:instrText>
          </w:r>
          <w:r>
            <w:fldChar w:fldCharType="separate"/>
          </w:r>
          <w:r>
            <w:rPr>
              <w:rStyle w:val="18"/>
              <w:rFonts w:ascii="楷体" w:hAnsi="楷体" w:eastAsia="楷体" w:cs="楷体"/>
            </w:rPr>
            <w:t>（二）开发区土地利用效率情况</w:t>
          </w:r>
          <w:r>
            <w:tab/>
          </w:r>
          <w:r>
            <w:fldChar w:fldCharType="begin"/>
          </w:r>
          <w:r>
            <w:instrText xml:space="preserve"> PAGEREF _Toc113223484 \h </w:instrText>
          </w:r>
          <w:r>
            <w:fldChar w:fldCharType="separate"/>
          </w:r>
          <w:r>
            <w:t>4</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"_Toc113223485" </w:instrText>
          </w:r>
          <w:r>
            <w:fldChar w:fldCharType="separate"/>
          </w:r>
          <w:r>
            <w:rPr>
              <w:rStyle w:val="18"/>
              <w:rFonts w:ascii="楷体" w:hAnsi="楷体" w:eastAsia="楷体" w:cs="楷体"/>
            </w:rPr>
            <w:t>（三）已批准土地征收成片开发方案实施情况</w:t>
          </w:r>
          <w:r>
            <w:tab/>
          </w:r>
          <w:r>
            <w:fldChar w:fldCharType="begin"/>
          </w:r>
          <w:r>
            <w:instrText xml:space="preserve"> PAGEREF _Toc113223485 \h </w:instrText>
          </w:r>
          <w:r>
            <w:fldChar w:fldCharType="separate"/>
          </w:r>
          <w:r>
            <w:t>4</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"_Toc113223486" </w:instrText>
          </w:r>
          <w:r>
            <w:fldChar w:fldCharType="separate"/>
          </w:r>
          <w:r>
            <w:rPr>
              <w:rStyle w:val="18"/>
              <w:rFonts w:ascii="黑体" w:hAnsi="黑体" w:eastAsia="黑体" w:cs="黑体"/>
            </w:rPr>
            <w:t>三、基本情况</w:t>
          </w:r>
          <w:r>
            <w:tab/>
          </w:r>
          <w:r>
            <w:fldChar w:fldCharType="begin"/>
          </w:r>
          <w:r>
            <w:instrText xml:space="preserve"> PAGEREF _Toc113223486 \h </w:instrText>
          </w:r>
          <w:r>
            <w:fldChar w:fldCharType="separate"/>
          </w:r>
          <w:r>
            <w:t>5</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"_Toc113223487" </w:instrText>
          </w:r>
          <w:r>
            <w:fldChar w:fldCharType="separate"/>
          </w:r>
          <w:r>
            <w:rPr>
              <w:rStyle w:val="18"/>
              <w:rFonts w:ascii="楷体" w:hAnsi="楷体" w:eastAsia="楷体" w:cs="楷体"/>
            </w:rPr>
            <w:t>（一） 成片开发位置、范围、面积</w:t>
          </w:r>
          <w:r>
            <w:tab/>
          </w:r>
          <w:r>
            <w:fldChar w:fldCharType="begin"/>
          </w:r>
          <w:r>
            <w:instrText xml:space="preserve"> PAGEREF _Toc113223487 \h </w:instrText>
          </w:r>
          <w:r>
            <w:fldChar w:fldCharType="separate"/>
          </w:r>
          <w:r>
            <w:t>5</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"_Toc113223488" </w:instrText>
          </w:r>
          <w:r>
            <w:fldChar w:fldCharType="separate"/>
          </w:r>
          <w:r>
            <w:rPr>
              <w:rStyle w:val="18"/>
              <w:rFonts w:ascii="楷体" w:hAnsi="楷体" w:eastAsia="楷体" w:cs="楷体"/>
            </w:rPr>
            <w:t>（二） 现状基础设施条件</w:t>
          </w:r>
          <w:r>
            <w:tab/>
          </w:r>
          <w:r>
            <w:fldChar w:fldCharType="begin"/>
          </w:r>
          <w:r>
            <w:instrText xml:space="preserve"> PAGEREF _Toc113223488 \h </w:instrText>
          </w:r>
          <w:r>
            <w:fldChar w:fldCharType="separate"/>
          </w:r>
          <w:r>
            <w:t>5</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"_Toc113223489" </w:instrText>
          </w:r>
          <w:r>
            <w:fldChar w:fldCharType="separate"/>
          </w:r>
          <w:r>
            <w:rPr>
              <w:rStyle w:val="18"/>
              <w:rFonts w:ascii="楷体" w:hAnsi="楷体" w:eastAsia="楷体" w:cs="楷体"/>
            </w:rPr>
            <w:t>（三） 实施周期</w:t>
          </w:r>
          <w:r>
            <w:tab/>
          </w:r>
          <w:r>
            <w:fldChar w:fldCharType="begin"/>
          </w:r>
          <w:r>
            <w:instrText xml:space="preserve"> PAGEREF _Toc113223489 \h </w:instrText>
          </w:r>
          <w:r>
            <w:fldChar w:fldCharType="separate"/>
          </w:r>
          <w:r>
            <w:t>6</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"_Toc113223490" </w:instrText>
          </w:r>
          <w:r>
            <w:fldChar w:fldCharType="separate"/>
          </w:r>
          <w:r>
            <w:rPr>
              <w:rStyle w:val="18"/>
              <w:rFonts w:ascii="黑体" w:hAnsi="黑体" w:eastAsia="黑体" w:cs="黑体"/>
            </w:rPr>
            <w:t>四、必要性分析</w:t>
          </w:r>
          <w:r>
            <w:tab/>
          </w:r>
          <w:r>
            <w:fldChar w:fldCharType="begin"/>
          </w:r>
          <w:r>
            <w:instrText xml:space="preserve"> PAGEREF _Toc113223490 \h </w:instrText>
          </w:r>
          <w:r>
            <w:fldChar w:fldCharType="separate"/>
          </w:r>
          <w:r>
            <w:t>6</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"_Toc113223491" </w:instrText>
          </w:r>
          <w:r>
            <w:fldChar w:fldCharType="separate"/>
          </w:r>
          <w:r>
            <w:rPr>
              <w:rStyle w:val="18"/>
              <w:rFonts w:ascii="楷体" w:hAnsi="楷体" w:eastAsia="楷体" w:cs="楷体"/>
            </w:rPr>
            <w:t>（一）必要性分析</w:t>
          </w:r>
          <w:r>
            <w:tab/>
          </w:r>
          <w:r>
            <w:fldChar w:fldCharType="begin"/>
          </w:r>
          <w:r>
            <w:instrText xml:space="preserve"> PAGEREF _Toc113223491 \h </w:instrText>
          </w:r>
          <w:r>
            <w:fldChar w:fldCharType="separate"/>
          </w:r>
          <w:r>
            <w:t>6</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"_Toc113223492" </w:instrText>
          </w:r>
          <w:r>
            <w:fldChar w:fldCharType="separate"/>
          </w:r>
          <w:r>
            <w:rPr>
              <w:rStyle w:val="18"/>
              <w:rFonts w:ascii="楷体" w:hAnsi="楷体" w:eastAsia="楷体" w:cs="楷体"/>
            </w:rPr>
            <w:t>（二）科学合理性分析</w:t>
          </w:r>
          <w:r>
            <w:tab/>
          </w:r>
          <w:r>
            <w:fldChar w:fldCharType="begin"/>
          </w:r>
          <w:r>
            <w:instrText xml:space="preserve"> PAGEREF _Toc113223492 \h </w:instrText>
          </w:r>
          <w:r>
            <w:fldChar w:fldCharType="separate"/>
          </w:r>
          <w:r>
            <w:t>8</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"_Toc113223493" </w:instrText>
          </w:r>
          <w:r>
            <w:fldChar w:fldCharType="separate"/>
          </w:r>
          <w:r>
            <w:rPr>
              <w:rStyle w:val="18"/>
              <w:rFonts w:ascii="黑体" w:hAnsi="黑体" w:eastAsia="黑体" w:cs="黑体"/>
            </w:rPr>
            <w:t>五、主要用途、实现功能及公益性用地比例</w:t>
          </w:r>
          <w:r>
            <w:tab/>
          </w:r>
          <w:r>
            <w:fldChar w:fldCharType="begin"/>
          </w:r>
          <w:r>
            <w:instrText xml:space="preserve"> PAGEREF _Toc113223493 \h </w:instrText>
          </w:r>
          <w:r>
            <w:fldChar w:fldCharType="separate"/>
          </w:r>
          <w:r>
            <w:t>9</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"_Toc113223494" </w:instrText>
          </w:r>
          <w:r>
            <w:fldChar w:fldCharType="separate"/>
          </w:r>
          <w:r>
            <w:rPr>
              <w:rStyle w:val="18"/>
              <w:rFonts w:ascii="黑体" w:hAnsi="黑体" w:eastAsia="黑体" w:cs="黑体"/>
            </w:rPr>
            <w:t>六、拟建项目及实施计划</w:t>
          </w:r>
          <w:r>
            <w:tab/>
          </w:r>
          <w:r>
            <w:fldChar w:fldCharType="begin"/>
          </w:r>
          <w:r>
            <w:instrText xml:space="preserve"> PAGEREF _Toc113223494 \h </w:instrText>
          </w:r>
          <w:r>
            <w:fldChar w:fldCharType="separate"/>
          </w:r>
          <w:r>
            <w:t>10</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"_Toc113223495" </w:instrText>
          </w:r>
          <w:r>
            <w:fldChar w:fldCharType="separate"/>
          </w:r>
          <w:r>
            <w:rPr>
              <w:rStyle w:val="18"/>
              <w:rFonts w:ascii="黑体" w:hAnsi="黑体" w:eastAsia="黑体" w:cs="黑体"/>
            </w:rPr>
            <w:t>七、合规性分析</w:t>
          </w:r>
          <w:r>
            <w:tab/>
          </w:r>
          <w:r>
            <w:fldChar w:fldCharType="begin"/>
          </w:r>
          <w:r>
            <w:instrText xml:space="preserve"> PAGEREF _Toc113223495 \h </w:instrText>
          </w:r>
          <w:r>
            <w:fldChar w:fldCharType="separate"/>
          </w:r>
          <w:r>
            <w:t>10</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"_Toc113223496" </w:instrText>
          </w:r>
          <w:r>
            <w:fldChar w:fldCharType="separate"/>
          </w:r>
          <w:r>
            <w:rPr>
              <w:rStyle w:val="18"/>
              <w:rFonts w:ascii="楷体" w:hAnsi="楷体" w:eastAsia="楷体" w:cs="楷体"/>
            </w:rPr>
            <w:t>（一）国土空间规划</w:t>
          </w:r>
          <w:r>
            <w:tab/>
          </w:r>
          <w:r>
            <w:fldChar w:fldCharType="begin"/>
          </w:r>
          <w:r>
            <w:instrText xml:space="preserve"> PAGEREF _Toc113223496 \h </w:instrText>
          </w:r>
          <w:r>
            <w:fldChar w:fldCharType="separate"/>
          </w:r>
          <w:r>
            <w:t>10</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"_Toc113223497" </w:instrText>
          </w:r>
          <w:r>
            <w:fldChar w:fldCharType="separate"/>
          </w:r>
          <w:r>
            <w:rPr>
              <w:rStyle w:val="18"/>
              <w:rFonts w:ascii="楷体" w:hAnsi="楷体" w:eastAsia="楷体" w:cs="楷体"/>
            </w:rPr>
            <w:t>（二）国民经济和社会发展规划、年度计划</w:t>
          </w:r>
          <w:r>
            <w:tab/>
          </w:r>
          <w:r>
            <w:fldChar w:fldCharType="begin"/>
          </w:r>
          <w:r>
            <w:instrText xml:space="preserve"> PAGEREF _Toc113223497 \h </w:instrText>
          </w:r>
          <w:r>
            <w:fldChar w:fldCharType="separate"/>
          </w:r>
          <w:r>
            <w:t>10</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"_Toc113223498" </w:instrText>
          </w:r>
          <w:r>
            <w:fldChar w:fldCharType="separate"/>
          </w:r>
          <w:r>
            <w:rPr>
              <w:rStyle w:val="18"/>
              <w:rFonts w:ascii="楷体" w:hAnsi="楷体" w:eastAsia="楷体" w:cs="楷体"/>
            </w:rPr>
            <w:t>（三）占用永久基本农田和其他法律法规规定不允许占用或开发的</w:t>
          </w:r>
          <w:r>
            <w:tab/>
          </w:r>
          <w:r>
            <w:fldChar w:fldCharType="begin"/>
          </w:r>
          <w:r>
            <w:instrText xml:space="preserve"> PAGEREF _Toc113223498 \h </w:instrText>
          </w:r>
          <w:r>
            <w:fldChar w:fldCharType="separate"/>
          </w:r>
          <w:r>
            <w:t>11</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"_Toc113223499" </w:instrText>
          </w:r>
          <w:r>
            <w:fldChar w:fldCharType="separate"/>
          </w:r>
          <w:r>
            <w:rPr>
              <w:rStyle w:val="18"/>
              <w:rFonts w:ascii="黑体" w:hAnsi="黑体" w:eastAsia="黑体" w:cs="黑体"/>
            </w:rPr>
            <w:t>八、效益评估</w:t>
          </w:r>
          <w:r>
            <w:tab/>
          </w:r>
          <w:r>
            <w:fldChar w:fldCharType="begin"/>
          </w:r>
          <w:r>
            <w:instrText xml:space="preserve"> PAGEREF _Toc113223499 \h </w:instrText>
          </w:r>
          <w:r>
            <w:fldChar w:fldCharType="separate"/>
          </w:r>
          <w:r>
            <w:t>12</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"_Toc113223500" </w:instrText>
          </w:r>
          <w:r>
            <w:fldChar w:fldCharType="separate"/>
          </w:r>
          <w:r>
            <w:rPr>
              <w:rStyle w:val="18"/>
              <w:rFonts w:ascii="楷体" w:hAnsi="楷体" w:eastAsia="楷体" w:cs="楷体"/>
            </w:rPr>
            <w:t>（一）土地利用效益</w:t>
          </w:r>
          <w:r>
            <w:tab/>
          </w:r>
          <w:r>
            <w:fldChar w:fldCharType="begin"/>
          </w:r>
          <w:r>
            <w:instrText xml:space="preserve"> PAGEREF _Toc113223500 \h </w:instrText>
          </w:r>
          <w:r>
            <w:fldChar w:fldCharType="separate"/>
          </w:r>
          <w:r>
            <w:t>12</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"_Toc113223501" </w:instrText>
          </w:r>
          <w:r>
            <w:fldChar w:fldCharType="separate"/>
          </w:r>
          <w:r>
            <w:rPr>
              <w:rStyle w:val="18"/>
              <w:rFonts w:ascii="楷体" w:hAnsi="楷体" w:eastAsia="楷体" w:cs="楷体"/>
            </w:rPr>
            <w:t>（二）经济效益</w:t>
          </w:r>
          <w:r>
            <w:tab/>
          </w:r>
          <w:r>
            <w:fldChar w:fldCharType="begin"/>
          </w:r>
          <w:r>
            <w:instrText xml:space="preserve"> PAGEREF _Toc113223501 \h </w:instrText>
          </w:r>
          <w:r>
            <w:fldChar w:fldCharType="separate"/>
          </w:r>
          <w:r>
            <w:t>12</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"_Toc113223502" </w:instrText>
          </w:r>
          <w:r>
            <w:fldChar w:fldCharType="separate"/>
          </w:r>
          <w:r>
            <w:rPr>
              <w:rStyle w:val="18"/>
              <w:rFonts w:ascii="楷体" w:hAnsi="楷体" w:eastAsia="楷体" w:cs="楷体"/>
            </w:rPr>
            <w:t>（三）社会效益</w:t>
          </w:r>
          <w:r>
            <w:tab/>
          </w:r>
          <w:r>
            <w:fldChar w:fldCharType="begin"/>
          </w:r>
          <w:r>
            <w:instrText xml:space="preserve"> PAGEREF _Toc113223502 \h </w:instrText>
          </w:r>
          <w:r>
            <w:fldChar w:fldCharType="separate"/>
          </w:r>
          <w:r>
            <w:t>13</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"_Toc113223503" </w:instrText>
          </w:r>
          <w:r>
            <w:fldChar w:fldCharType="separate"/>
          </w:r>
          <w:r>
            <w:rPr>
              <w:rStyle w:val="18"/>
              <w:rFonts w:ascii="楷体" w:hAnsi="楷体" w:eastAsia="楷体" w:cs="楷体"/>
            </w:rPr>
            <w:t>（四）生态效益</w:t>
          </w:r>
          <w:r>
            <w:tab/>
          </w:r>
          <w:r>
            <w:fldChar w:fldCharType="begin"/>
          </w:r>
          <w:r>
            <w:instrText xml:space="preserve"> PAGEREF _Toc113223503 \h </w:instrText>
          </w:r>
          <w:r>
            <w:fldChar w:fldCharType="separate"/>
          </w:r>
          <w:r>
            <w:t>13</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"_Toc113223504" </w:instrText>
          </w:r>
          <w:r>
            <w:fldChar w:fldCharType="separate"/>
          </w:r>
          <w:r>
            <w:rPr>
              <w:rStyle w:val="18"/>
              <w:rFonts w:ascii="黑体" w:hAnsi="黑体" w:eastAsia="黑体" w:cs="黑体"/>
            </w:rPr>
            <w:t>九、征求意见情况</w:t>
          </w:r>
          <w:r>
            <w:tab/>
          </w:r>
          <w:r>
            <w:fldChar w:fldCharType="begin"/>
          </w:r>
          <w:r>
            <w:instrText xml:space="preserve"> PAGEREF _Toc113223504 \h </w:instrText>
          </w:r>
          <w:r>
            <w:fldChar w:fldCharType="separate"/>
          </w:r>
          <w:r>
            <w:t>14</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"_Toc113223505" </w:instrText>
          </w:r>
          <w:r>
            <w:fldChar w:fldCharType="separate"/>
          </w:r>
          <w:r>
            <w:rPr>
              <w:rStyle w:val="18"/>
              <w:rFonts w:ascii="楷体" w:hAnsi="楷体" w:eastAsia="楷体" w:cs="楷体"/>
            </w:rPr>
            <w:t>（一）听取人大代表、政协委员、社会公众和有关专家学者意见</w:t>
          </w:r>
          <w:r>
            <w:tab/>
          </w:r>
          <w:r>
            <w:fldChar w:fldCharType="begin"/>
          </w:r>
          <w:r>
            <w:instrText xml:space="preserve"> PAGEREF _Toc113223505 \h </w:instrText>
          </w:r>
          <w:r>
            <w:fldChar w:fldCharType="separate"/>
          </w:r>
          <w:r>
            <w:t>14</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"_Toc113223506" </w:instrText>
          </w:r>
          <w:r>
            <w:fldChar w:fldCharType="separate"/>
          </w:r>
          <w:r>
            <w:rPr>
              <w:rStyle w:val="18"/>
              <w:rFonts w:ascii="楷体" w:hAnsi="楷体" w:eastAsia="楷体" w:cs="楷体"/>
            </w:rPr>
            <w:t>（二）征求集体经济组织和农民意见</w:t>
          </w:r>
          <w:r>
            <w:tab/>
          </w:r>
          <w:r>
            <w:fldChar w:fldCharType="begin"/>
          </w:r>
          <w:r>
            <w:instrText xml:space="preserve"> PAGEREF _Toc113223506 \h </w:instrText>
          </w:r>
          <w:r>
            <w:fldChar w:fldCharType="separate"/>
          </w:r>
          <w:r>
            <w:t>15</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"_Toc113223507" </w:instrText>
          </w:r>
          <w:r>
            <w:fldChar w:fldCharType="separate"/>
          </w:r>
          <w:r>
            <w:rPr>
              <w:rStyle w:val="18"/>
              <w:rFonts w:ascii="楷体" w:hAnsi="楷体" w:eastAsia="楷体" w:cs="楷体"/>
            </w:rPr>
            <w:t>（三）公示情况</w:t>
          </w:r>
          <w:r>
            <w:tab/>
          </w:r>
          <w:r>
            <w:fldChar w:fldCharType="begin"/>
          </w:r>
          <w:r>
            <w:instrText xml:space="preserve"> PAGEREF _Toc113223507 \h </w:instrText>
          </w:r>
          <w:r>
            <w:fldChar w:fldCharType="separate"/>
          </w:r>
          <w:r>
            <w:t>15</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"_Toc113223508" </w:instrText>
          </w:r>
          <w:r>
            <w:fldChar w:fldCharType="separate"/>
          </w:r>
          <w:r>
            <w:rPr>
              <w:rStyle w:val="18"/>
              <w:rFonts w:ascii="黑体" w:hAnsi="黑体" w:eastAsia="黑体" w:cs="黑体"/>
            </w:rPr>
            <w:t>十、结论</w:t>
          </w:r>
          <w:r>
            <w:tab/>
          </w:r>
          <w:r>
            <w:fldChar w:fldCharType="begin"/>
          </w:r>
          <w:r>
            <w:instrText xml:space="preserve"> PAGEREF _Toc113223508 \h </w:instrText>
          </w:r>
          <w:r>
            <w:fldChar w:fldCharType="separate"/>
          </w:r>
          <w:r>
            <w:t>15</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"_Toc113223509" </w:instrText>
          </w:r>
          <w:r>
            <w:fldChar w:fldCharType="separate"/>
          </w:r>
          <w:r>
            <w:rPr>
              <w:rStyle w:val="18"/>
              <w:rFonts w:ascii="黑体" w:hAnsi="黑体" w:eastAsia="黑体" w:cs="黑体"/>
            </w:rPr>
            <w:t>十一、附图</w:t>
          </w:r>
          <w:r>
            <w:tab/>
          </w:r>
          <w:r>
            <w:fldChar w:fldCharType="begin"/>
          </w:r>
          <w:r>
            <w:instrText xml:space="preserve"> PAGEREF _Toc113223509 \h </w:instrText>
          </w:r>
          <w:r>
            <w:fldChar w:fldCharType="separate"/>
          </w:r>
          <w:r>
            <w:t>1</w:t>
          </w:r>
          <w:r>
            <w:fldChar w:fldCharType="end"/>
          </w:r>
          <w:r>
            <w:fldChar w:fldCharType="end"/>
          </w:r>
        </w:p>
        <w:p>
          <w:pPr>
            <w:pStyle w:val="11"/>
            <w:rPr>
              <w:rFonts w:asciiTheme="minorHAnsi" w:hAnsiTheme="minorHAnsi" w:eastAsiaTheme="minorEastAsia" w:cstheme="minorBidi"/>
              <w:b w:val="0"/>
              <w:bCs w:val="0"/>
              <w:kern w:val="2"/>
              <w:sz w:val="21"/>
              <w:szCs w:val="22"/>
            </w:rPr>
          </w:pPr>
          <w:r>
            <w:fldChar w:fldCharType="begin"/>
          </w:r>
          <w:r>
            <w:instrText xml:space="preserve"> HYPERLINK \l "_Toc113223510" </w:instrText>
          </w:r>
          <w:r>
            <w:fldChar w:fldCharType="separate"/>
          </w:r>
          <w:r>
            <w:rPr>
              <w:rStyle w:val="18"/>
              <w:rFonts w:ascii="黑体" w:hAnsi="黑体" w:eastAsia="黑体" w:cs="黑体"/>
            </w:rPr>
            <w:t>十二、附表</w:t>
          </w:r>
          <w:r>
            <w:tab/>
          </w:r>
          <w:r>
            <w:fldChar w:fldCharType="begin"/>
          </w:r>
          <w:r>
            <w:instrText xml:space="preserve"> PAGEREF _Toc113223510 \h </w:instrText>
          </w:r>
          <w:r>
            <w:fldChar w:fldCharType="separate"/>
          </w:r>
          <w:r>
            <w:t>1</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"_Toc113223511" </w:instrText>
          </w:r>
          <w:r>
            <w:fldChar w:fldCharType="separate"/>
          </w:r>
          <w:r>
            <w:rPr>
              <w:rStyle w:val="18"/>
              <w:rFonts w:ascii="仿宋" w:hAnsi="仿宋" w:eastAsia="仿宋" w:cs="仿宋"/>
            </w:rPr>
            <w:t>附表1  地块利用现状表</w:t>
          </w:r>
          <w:r>
            <w:tab/>
          </w:r>
          <w:r>
            <w:fldChar w:fldCharType="begin"/>
          </w:r>
          <w:r>
            <w:instrText xml:space="preserve"> PAGEREF _Toc113223511 \h </w:instrText>
          </w:r>
          <w:r>
            <w:fldChar w:fldCharType="separate"/>
          </w:r>
          <w:r>
            <w:t>1</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"_Toc113223512" </w:instrText>
          </w:r>
          <w:r>
            <w:fldChar w:fldCharType="separate"/>
          </w:r>
          <w:r>
            <w:rPr>
              <w:rStyle w:val="18"/>
              <w:rFonts w:ascii="仿宋" w:hAnsi="仿宋" w:eastAsia="仿宋" w:cs="仿宋"/>
            </w:rPr>
            <w:t>附表2  地块用途、面积及实现功能统计表</w:t>
          </w:r>
          <w:r>
            <w:tab/>
          </w:r>
          <w:r>
            <w:fldChar w:fldCharType="begin"/>
          </w:r>
          <w:r>
            <w:instrText xml:space="preserve"> PAGEREF _Toc113223512 \h </w:instrText>
          </w:r>
          <w:r>
            <w:fldChar w:fldCharType="separate"/>
          </w:r>
          <w:r>
            <w:t>2</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"_Toc113223513" </w:instrText>
          </w:r>
          <w:r>
            <w:fldChar w:fldCharType="separate"/>
          </w:r>
          <w:r>
            <w:rPr>
              <w:rStyle w:val="18"/>
              <w:rFonts w:ascii="仿宋" w:hAnsi="仿宋" w:eastAsia="仿宋" w:cs="仿宋"/>
            </w:rPr>
            <w:t>附表3 拟建设项目统计表</w:t>
          </w:r>
          <w:r>
            <w:tab/>
          </w:r>
          <w:r>
            <w:fldChar w:fldCharType="begin"/>
          </w:r>
          <w:r>
            <w:instrText xml:space="preserve"> PAGEREF _Toc113223513 \h </w:instrText>
          </w:r>
          <w:r>
            <w:fldChar w:fldCharType="separate"/>
          </w:r>
          <w:r>
            <w:t>3</w:t>
          </w:r>
          <w:r>
            <w:fldChar w:fldCharType="end"/>
          </w:r>
          <w:r>
            <w:fldChar w:fldCharType="end"/>
          </w:r>
        </w:p>
        <w:p>
          <w:pPr>
            <w:pStyle w:val="12"/>
            <w:tabs>
              <w:tab w:val="right" w:leader="dot" w:pos="8296"/>
            </w:tabs>
            <w:rPr>
              <w:rFonts w:cstheme="minorBidi"/>
              <w:kern w:val="2"/>
              <w:sz w:val="21"/>
            </w:rPr>
          </w:pPr>
          <w:r>
            <w:fldChar w:fldCharType="begin"/>
          </w:r>
          <w:r>
            <w:instrText xml:space="preserve"> HYPERLINK \l "_Toc113223514" </w:instrText>
          </w:r>
          <w:r>
            <w:fldChar w:fldCharType="separate"/>
          </w:r>
          <w:r>
            <w:rPr>
              <w:rStyle w:val="18"/>
              <w:rFonts w:ascii="仿宋" w:hAnsi="仿宋" w:eastAsia="仿宋" w:cs="仿宋"/>
            </w:rPr>
            <w:t>附表4 开发时序和年度实施计划统计表</w:t>
          </w:r>
          <w:r>
            <w:tab/>
          </w:r>
          <w:r>
            <w:fldChar w:fldCharType="begin"/>
          </w:r>
          <w:r>
            <w:instrText xml:space="preserve"> PAGEREF _Toc113223514 \h </w:instrText>
          </w:r>
          <w:r>
            <w:fldChar w:fldCharType="separate"/>
          </w:r>
          <w:r>
            <w:t>4</w:t>
          </w:r>
          <w:r>
            <w:fldChar w:fldCharType="end"/>
          </w:r>
          <w:r>
            <w:fldChar w:fldCharType="end"/>
          </w:r>
        </w:p>
        <w:p>
          <w:pPr>
            <w:ind w:firstLine="480"/>
            <w:rPr>
              <w:rFonts w:ascii="宋体" w:hAnsi="宋体"/>
              <w:b/>
              <w:bCs/>
              <w:szCs w:val="24"/>
              <w:lang w:val="zh-CN"/>
            </w:rPr>
          </w:pPr>
          <w:r>
            <w:rPr>
              <w:rFonts w:ascii="宋体" w:hAnsi="宋体" w:cs="Times New Roman"/>
              <w:bCs/>
              <w:kern w:val="0"/>
              <w:szCs w:val="24"/>
            </w:rPr>
            <w:fldChar w:fldCharType="end"/>
          </w:r>
        </w:p>
      </w:sdtContent>
    </w:sdt>
    <w:p>
      <w:pPr>
        <w:spacing w:line="720" w:lineRule="auto"/>
        <w:ind w:firstLine="0" w:firstLineChars="0"/>
        <w:rPr>
          <w:rFonts w:ascii="Calibri" w:hAnsi="Calibri" w:cs="Times New Roman"/>
          <w:sz w:val="36"/>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26" w:charSpace="0"/>
        </w:sectPr>
      </w:pPr>
    </w:p>
    <w:p>
      <w:pPr>
        <w:pStyle w:val="4"/>
        <w:spacing w:line="240" w:lineRule="auto"/>
        <w:rPr>
          <w:rFonts w:ascii="黑体" w:hAnsi="黑体" w:eastAsia="黑体" w:cs="黑体"/>
          <w:sz w:val="32"/>
          <w:szCs w:val="32"/>
        </w:rPr>
      </w:pPr>
      <w:bookmarkStart w:id="1" w:name="_Toc113223478"/>
      <w:r>
        <w:rPr>
          <w:rFonts w:hint="eastAsia" w:ascii="黑体" w:hAnsi="黑体" w:eastAsia="黑体" w:cs="黑体"/>
          <w:sz w:val="32"/>
          <w:szCs w:val="32"/>
        </w:rPr>
        <w:t>一、概述</w:t>
      </w:r>
      <w:bookmarkEnd w:id="0"/>
      <w:bookmarkEnd w:id="1"/>
    </w:p>
    <w:p>
      <w:pPr>
        <w:pStyle w:val="5"/>
        <w:spacing w:line="240" w:lineRule="auto"/>
        <w:ind w:firstLine="263" w:firstLineChars="82"/>
        <w:rPr>
          <w:rFonts w:ascii="楷体" w:hAnsi="楷体" w:eastAsia="楷体" w:cs="楷体"/>
          <w:sz w:val="32"/>
        </w:rPr>
      </w:pPr>
      <w:bookmarkStart w:id="2" w:name="_Toc113223479"/>
      <w:bookmarkStart w:id="3" w:name="_Toc67952575"/>
      <w:r>
        <w:rPr>
          <w:rFonts w:hint="eastAsia" w:ascii="楷体" w:hAnsi="楷体" w:eastAsia="楷体" w:cs="楷体"/>
          <w:sz w:val="32"/>
        </w:rPr>
        <w:t>（一）编制背景</w:t>
      </w:r>
      <w:bookmarkEnd w:id="2"/>
      <w:bookmarkEnd w:id="3"/>
    </w:p>
    <w:p>
      <w:pPr>
        <w:pStyle w:val="6"/>
        <w:spacing w:line="240" w:lineRule="auto"/>
        <w:ind w:firstLine="265" w:firstLineChars="83"/>
        <w:rPr>
          <w:rFonts w:ascii="仿宋" w:hAnsi="仿宋" w:eastAsia="仿宋" w:cs="仿宋"/>
          <w:sz w:val="32"/>
        </w:rPr>
      </w:pPr>
      <w:bookmarkStart w:id="4" w:name="_Toc67952576"/>
      <w:r>
        <w:rPr>
          <w:rFonts w:hint="eastAsia" w:ascii="仿宋" w:hAnsi="仿宋" w:eastAsia="仿宋" w:cs="仿宋"/>
          <w:sz w:val="32"/>
        </w:rPr>
        <w:t>1.政策背景</w:t>
      </w:r>
      <w:bookmarkEnd w:id="4"/>
    </w:p>
    <w:p>
      <w:pPr>
        <w:spacing w:line="240" w:lineRule="auto"/>
        <w:ind w:firstLine="640"/>
        <w:rPr>
          <w:rFonts w:ascii="仿宋" w:hAnsi="仿宋" w:eastAsia="仿宋" w:cs="仿宋"/>
          <w:sz w:val="32"/>
          <w:szCs w:val="32"/>
        </w:rPr>
      </w:pPr>
      <w:r>
        <w:rPr>
          <w:rFonts w:hint="eastAsia" w:ascii="仿宋" w:hAnsi="仿宋" w:eastAsia="仿宋" w:cs="仿宋"/>
          <w:sz w:val="32"/>
          <w:szCs w:val="32"/>
        </w:rPr>
        <w:t>2020年11月5日，自然资源部发布了关于《土地征收成片开发标准（试行）》，对《中华人民共和国土地管理法（20</w:t>
      </w:r>
      <w:r>
        <w:rPr>
          <w:rFonts w:ascii="仿宋" w:hAnsi="仿宋" w:eastAsia="仿宋" w:cs="仿宋"/>
          <w:sz w:val="32"/>
          <w:szCs w:val="32"/>
        </w:rPr>
        <w:t>19</w:t>
      </w:r>
      <w:r>
        <w:rPr>
          <w:rFonts w:hint="eastAsia" w:ascii="仿宋" w:hAnsi="仿宋" w:eastAsia="仿宋" w:cs="仿宋"/>
          <w:sz w:val="32"/>
          <w:szCs w:val="32"/>
        </w:rPr>
        <w:t>年修正方案）》第四十五条规定的土地开发做出成片征收标准规定，支持县级以上地方人民政府对一定范围的土地进行综合性开发，并统筹进行方案设计、功能导入、征地拆迁和集中建设。《福建省城市规划管理技术规定》是城市规划管理重要的技术支撑，使城市规划管理法制化、规范化。《福建省土地征收成片开发方案编制参考指南（试行）》规范了土地征收成片开发方案审查报批工作，保障经济和社会发展用地需要，维护被征收农村集体经济组织和农民的合法权益。</w:t>
      </w:r>
    </w:p>
    <w:p>
      <w:pPr>
        <w:pStyle w:val="6"/>
        <w:spacing w:line="240" w:lineRule="auto"/>
        <w:ind w:firstLine="265" w:firstLineChars="83"/>
        <w:rPr>
          <w:rFonts w:ascii="仿宋" w:hAnsi="仿宋" w:eastAsia="仿宋" w:cs="仿宋"/>
          <w:sz w:val="32"/>
        </w:rPr>
      </w:pPr>
      <w:bookmarkStart w:id="5" w:name="_Toc67952577"/>
      <w:r>
        <w:rPr>
          <w:rFonts w:hint="eastAsia" w:ascii="仿宋" w:hAnsi="仿宋" w:eastAsia="仿宋" w:cs="仿宋"/>
          <w:sz w:val="32"/>
        </w:rPr>
        <w:t>2.区域背景</w:t>
      </w:r>
      <w:bookmarkEnd w:id="5"/>
    </w:p>
    <w:p>
      <w:pPr>
        <w:spacing w:line="240" w:lineRule="auto"/>
        <w:ind w:firstLine="640"/>
        <w:rPr>
          <w:rFonts w:ascii="仿宋" w:hAnsi="仿宋" w:eastAsia="仿宋" w:cs="仿宋"/>
          <w:sz w:val="32"/>
          <w:szCs w:val="32"/>
        </w:rPr>
      </w:pPr>
      <w:r>
        <w:rPr>
          <w:rFonts w:hint="eastAsia" w:ascii="仿宋" w:hAnsi="仿宋" w:eastAsia="仿宋" w:cs="仿宋"/>
          <w:sz w:val="32"/>
          <w:szCs w:val="32"/>
        </w:rPr>
        <w:t>2021年是实施仙游县“十四五”规划的开局之年。仙游县紧紧围绕中央、省委、市委和县委决策部署，突出开放招商、强化项目带动，大力实施强产业、兴城市“双轮”驱动，为“十四五”发展开好局、起好步。本次成片开发区域位于“五片区两组团”改造中的瑞峰片区，地处仙游县盖尾镇，是仙游县“强产业、兴城市”、“三年行动计划暨十四五规划”重点改造区域。</w:t>
      </w:r>
    </w:p>
    <w:p>
      <w:pPr>
        <w:pStyle w:val="6"/>
        <w:spacing w:line="240" w:lineRule="auto"/>
        <w:ind w:firstLine="265" w:firstLineChars="83"/>
        <w:rPr>
          <w:rFonts w:ascii="仿宋" w:hAnsi="仿宋" w:eastAsia="仿宋" w:cs="仿宋"/>
          <w:sz w:val="32"/>
        </w:rPr>
      </w:pPr>
      <w:r>
        <w:rPr>
          <w:rFonts w:hint="eastAsia" w:ascii="仿宋" w:hAnsi="仿宋" w:eastAsia="仿宋" w:cs="仿宋"/>
          <w:sz w:val="32"/>
        </w:rPr>
        <w:t>3.意义</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本次成片开发方案有助于推动瑞峰片区新一代电子信息产业的发展，实现城市土地集约化，提升土地价值，完善区域产业链和配套服务。打造宜业宜居产城融合示范区，有利于推动仙游经济开发区升格为国家级经济开发区。</w:t>
      </w:r>
    </w:p>
    <w:p>
      <w:pPr>
        <w:pStyle w:val="5"/>
        <w:spacing w:line="240" w:lineRule="auto"/>
        <w:ind w:firstLine="263" w:firstLineChars="82"/>
        <w:rPr>
          <w:rFonts w:ascii="楷体" w:hAnsi="楷体" w:eastAsia="楷体" w:cs="楷体"/>
          <w:sz w:val="32"/>
        </w:rPr>
      </w:pPr>
      <w:bookmarkStart w:id="6" w:name="_Toc113223480"/>
      <w:bookmarkStart w:id="7" w:name="_Toc67952578"/>
      <w:r>
        <w:rPr>
          <w:rFonts w:hint="eastAsia" w:ascii="楷体" w:hAnsi="楷体" w:eastAsia="楷体" w:cs="楷体"/>
          <w:sz w:val="32"/>
        </w:rPr>
        <w:t>（二）编制原则</w:t>
      </w:r>
      <w:bookmarkEnd w:id="6"/>
      <w:bookmarkEnd w:id="7"/>
    </w:p>
    <w:p>
      <w:pPr>
        <w:pStyle w:val="6"/>
        <w:spacing w:line="240" w:lineRule="auto"/>
        <w:ind w:firstLine="262" w:firstLineChars="82"/>
        <w:rPr>
          <w:rFonts w:ascii="仿宋" w:hAnsi="仿宋" w:eastAsia="仿宋" w:cs="仿宋"/>
          <w:sz w:val="32"/>
        </w:rPr>
      </w:pPr>
      <w:bookmarkStart w:id="8" w:name="_Toc67952579"/>
      <w:r>
        <w:rPr>
          <w:rFonts w:hint="eastAsia" w:ascii="仿宋" w:hAnsi="仿宋" w:eastAsia="仿宋" w:cs="仿宋"/>
          <w:sz w:val="32"/>
        </w:rPr>
        <w:t>1.遵守法律法规、维护公共利益原则</w:t>
      </w:r>
      <w:bookmarkEnd w:id="8"/>
    </w:p>
    <w:p>
      <w:pPr>
        <w:spacing w:line="240" w:lineRule="auto"/>
        <w:ind w:firstLine="640"/>
        <w:rPr>
          <w:rFonts w:ascii="仿宋" w:hAnsi="仿宋" w:eastAsia="仿宋" w:cs="仿宋"/>
          <w:sz w:val="32"/>
          <w:szCs w:val="32"/>
        </w:rPr>
      </w:pPr>
      <w:r>
        <w:rPr>
          <w:rFonts w:hint="eastAsia" w:ascii="仿宋" w:hAnsi="仿宋" w:eastAsia="仿宋" w:cs="仿宋"/>
          <w:sz w:val="32"/>
          <w:szCs w:val="32"/>
        </w:rPr>
        <w:t xml:space="preserve">遵循相关法律、法规和规程的规定，符合国民经济和社会发展规划、国土空间规划，纳入当地国民经济和社会发展年度计划，并符合国家产业政策和供地政策。 </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以人民为中心，为公共利益的需要，提高成片开发范围内基础设施、公共服务设施以及其他公益性用地的比例，兼顾群众的现实和长远利益，维护群众合法权益，充分征求成片开发范围内农村集体经济组织和农民的意见。</w:t>
      </w:r>
    </w:p>
    <w:p>
      <w:pPr>
        <w:pStyle w:val="6"/>
        <w:spacing w:line="240" w:lineRule="auto"/>
        <w:ind w:firstLine="262" w:firstLineChars="82"/>
        <w:rPr>
          <w:rFonts w:ascii="仿宋" w:hAnsi="仿宋" w:eastAsia="仿宋" w:cs="仿宋"/>
          <w:sz w:val="32"/>
        </w:rPr>
      </w:pPr>
      <w:bookmarkStart w:id="9" w:name="_Toc67952580"/>
      <w:r>
        <w:rPr>
          <w:rFonts w:hint="eastAsia" w:ascii="仿宋" w:hAnsi="仿宋" w:eastAsia="仿宋" w:cs="仿宋"/>
          <w:sz w:val="32"/>
        </w:rPr>
        <w:t>2.科学合理编制、确保开发必要原则</w:t>
      </w:r>
      <w:bookmarkEnd w:id="9"/>
    </w:p>
    <w:p>
      <w:pPr>
        <w:spacing w:line="240" w:lineRule="auto"/>
        <w:ind w:firstLine="640"/>
        <w:rPr>
          <w:rFonts w:ascii="仿宋" w:hAnsi="仿宋" w:eastAsia="仿宋" w:cs="仿宋"/>
          <w:sz w:val="32"/>
          <w:szCs w:val="32"/>
        </w:rPr>
      </w:pPr>
      <w:r>
        <w:rPr>
          <w:rFonts w:hint="eastAsia" w:ascii="仿宋" w:hAnsi="仿宋" w:eastAsia="仿宋" w:cs="仿宋"/>
          <w:sz w:val="32"/>
          <w:szCs w:val="32"/>
        </w:rPr>
        <w:t>坚持新发展理念，立足城镇的长远发展，根据土地经济规律、经济社会发展和市场需求，确保开发的必要性。因地制宜，有针对性地开展编制工作，着重解决实际问题。</w:t>
      </w:r>
    </w:p>
    <w:p>
      <w:pPr>
        <w:pStyle w:val="6"/>
        <w:spacing w:line="240" w:lineRule="auto"/>
        <w:ind w:firstLine="262" w:firstLineChars="82"/>
        <w:rPr>
          <w:rFonts w:ascii="仿宋" w:hAnsi="仿宋" w:eastAsia="仿宋" w:cs="仿宋"/>
          <w:sz w:val="32"/>
        </w:rPr>
      </w:pPr>
      <w:bookmarkStart w:id="10" w:name="_Toc67952581"/>
      <w:r>
        <w:rPr>
          <w:rFonts w:hint="eastAsia" w:ascii="仿宋" w:hAnsi="仿宋" w:eastAsia="仿宋" w:cs="仿宋"/>
          <w:sz w:val="32"/>
        </w:rPr>
        <w:t>3.严格保护耕地、节约集约用地原则</w:t>
      </w:r>
      <w:bookmarkEnd w:id="10"/>
    </w:p>
    <w:p>
      <w:pPr>
        <w:spacing w:line="240" w:lineRule="auto"/>
        <w:ind w:firstLine="640"/>
        <w:rPr>
          <w:rFonts w:ascii="仿宋" w:hAnsi="仿宋" w:eastAsia="仿宋" w:cs="仿宋"/>
          <w:sz w:val="32"/>
          <w:szCs w:val="32"/>
        </w:rPr>
      </w:pPr>
      <w:r>
        <w:rPr>
          <w:rFonts w:hint="eastAsia" w:ascii="仿宋" w:hAnsi="仿宋" w:eastAsia="仿宋" w:cs="仿宋"/>
          <w:sz w:val="32"/>
          <w:szCs w:val="32"/>
        </w:rPr>
        <w:t>落实最严格的耕地保护制度，尽量避让优质耕地。要根据经济社会发展状况、实际用地需求、土地利用相关政策等确定成片开发范围，科学合理规划布局，优化资源配置，节约集约利用土地，提高土地利用效率。</w:t>
      </w:r>
    </w:p>
    <w:p>
      <w:pPr>
        <w:pStyle w:val="5"/>
        <w:spacing w:line="240" w:lineRule="auto"/>
        <w:ind w:firstLine="263" w:firstLineChars="82"/>
        <w:rPr>
          <w:rFonts w:ascii="楷体" w:hAnsi="楷体" w:eastAsia="楷体" w:cs="楷体"/>
          <w:sz w:val="32"/>
        </w:rPr>
      </w:pPr>
      <w:bookmarkStart w:id="11" w:name="_Toc67952582"/>
      <w:bookmarkStart w:id="12" w:name="_Toc113223481"/>
      <w:r>
        <w:rPr>
          <w:rFonts w:hint="eastAsia" w:ascii="楷体" w:hAnsi="楷体" w:eastAsia="楷体" w:cs="楷体"/>
          <w:sz w:val="32"/>
        </w:rPr>
        <w:t>（三）编制依据</w:t>
      </w:r>
      <w:bookmarkEnd w:id="11"/>
      <w:bookmarkEnd w:id="12"/>
    </w:p>
    <w:p>
      <w:pPr>
        <w:spacing w:line="240" w:lineRule="auto"/>
        <w:ind w:firstLine="640"/>
        <w:rPr>
          <w:rFonts w:ascii="仿宋" w:hAnsi="仿宋" w:eastAsia="仿宋" w:cs="仿宋"/>
          <w:sz w:val="32"/>
          <w:szCs w:val="32"/>
        </w:rPr>
      </w:pPr>
      <w:bookmarkStart w:id="13" w:name="_Toc67952583"/>
      <w:r>
        <w:rPr>
          <w:rFonts w:hint="eastAsia" w:ascii="仿宋" w:hAnsi="仿宋" w:eastAsia="仿宋" w:cs="仿宋"/>
          <w:sz w:val="32"/>
          <w:szCs w:val="32"/>
        </w:rPr>
        <w:t>1、《中华人民共和国土地管理法》（2019 年修正版）；</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2、《自然资源部关于印发〈土地征收成片开发标准（试行）〉的通知》（自然资规〔2020〕5 号）；</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3、《自然资源部办公厅关于印发〈国土空间调查、规划、用途管制用地用海分类指南（试行）〉的通知》（自然资办发〔2020〕51 号）；</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4、《</w:t>
      </w:r>
      <w:bookmarkStart w:id="14" w:name="_Hlk106213073"/>
      <w:r>
        <w:rPr>
          <w:rFonts w:hint="eastAsia" w:ascii="仿宋" w:hAnsi="仿宋" w:eastAsia="仿宋" w:cs="仿宋"/>
          <w:sz w:val="32"/>
          <w:szCs w:val="32"/>
        </w:rPr>
        <w:t>福建省自然资源厅关于印发〈</w:t>
      </w:r>
      <w:bookmarkEnd w:id="14"/>
      <w:r>
        <w:rPr>
          <w:rFonts w:hint="eastAsia" w:ascii="仿宋" w:hAnsi="仿宋" w:eastAsia="仿宋" w:cs="仿宋"/>
          <w:sz w:val="32"/>
          <w:szCs w:val="32"/>
        </w:rPr>
        <w:t>福建省土地征收成片开发方案报批实施细则（试行）〉的通知》（闽自然资发</w:t>
      </w:r>
      <w:bookmarkStart w:id="15" w:name="_Hlk99551427"/>
      <w:r>
        <w:rPr>
          <w:rFonts w:hint="eastAsia" w:ascii="仿宋" w:hAnsi="仿宋" w:eastAsia="仿宋" w:cs="仿宋"/>
          <w:sz w:val="32"/>
          <w:szCs w:val="32"/>
        </w:rPr>
        <w:t>〔2021〕</w:t>
      </w:r>
      <w:bookmarkEnd w:id="15"/>
      <w:r>
        <w:rPr>
          <w:rFonts w:hint="eastAsia" w:ascii="仿宋" w:hAnsi="仿宋" w:eastAsia="仿宋" w:cs="仿宋"/>
          <w:sz w:val="32"/>
          <w:szCs w:val="32"/>
        </w:rPr>
        <w:t>3 号）；</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5、《福建省自然资源厅关于印发〈福建省土地征收成片开发方案编制参考指南（试行）〉的通知》（闽自然资发〔2021〕6 号）；</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6、《仙游县国民经济和社会发展第十四个五年规划和二〇三五年远景目标纲要》；</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7、《仙游县土地利用总体规划（2006-2020）调整完善方案》</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8、《仙游县盖尾镇瑞峰片区控制性详细规划》；</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9、其他仙游县县域数据及资料；</w:t>
      </w:r>
    </w:p>
    <w:bookmarkEnd w:id="13"/>
    <w:p>
      <w:pPr>
        <w:pStyle w:val="4"/>
        <w:spacing w:line="240" w:lineRule="auto"/>
        <w:rPr>
          <w:rFonts w:ascii="黑体" w:hAnsi="黑体" w:eastAsia="黑体" w:cs="黑体"/>
          <w:sz w:val="32"/>
          <w:szCs w:val="32"/>
        </w:rPr>
      </w:pPr>
      <w:bookmarkStart w:id="16" w:name="_Toc113223482"/>
      <w:bookmarkStart w:id="17" w:name="_Toc67952585"/>
      <w:r>
        <w:rPr>
          <w:rFonts w:hint="eastAsia" w:ascii="黑体" w:hAnsi="黑体" w:eastAsia="黑体" w:cs="黑体"/>
          <w:sz w:val="32"/>
          <w:szCs w:val="32"/>
        </w:rPr>
        <w:t>二、编制情况</w:t>
      </w:r>
      <w:bookmarkEnd w:id="16"/>
      <w:bookmarkEnd w:id="17"/>
    </w:p>
    <w:p>
      <w:pPr>
        <w:pStyle w:val="5"/>
        <w:spacing w:line="240" w:lineRule="auto"/>
        <w:ind w:firstLine="263" w:firstLineChars="82"/>
        <w:rPr>
          <w:rFonts w:ascii="楷体" w:hAnsi="楷体" w:eastAsia="楷体" w:cs="楷体"/>
          <w:sz w:val="32"/>
        </w:rPr>
      </w:pPr>
      <w:bookmarkStart w:id="18" w:name="_Toc67952588"/>
      <w:bookmarkStart w:id="19" w:name="_Toc113223483"/>
      <w:r>
        <w:rPr>
          <w:rFonts w:hint="eastAsia" w:ascii="楷体" w:hAnsi="楷体" w:eastAsia="楷体" w:cs="楷体"/>
          <w:sz w:val="32"/>
        </w:rPr>
        <w:t>（一）批而未供土地和闲置土地情况</w:t>
      </w:r>
      <w:bookmarkEnd w:id="18"/>
      <w:bookmarkEnd w:id="19"/>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 xml:space="preserve">截至2022年8月底，仙游县批而未供土地面积360.067公顷＜500公顷。2020年和2021年，仙游县批而未供土地处置率分别为22.06%和20.80%，均已超过15%。 </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截至2022年8月底，仙游县闲置土地面积79.7101公顷＞50公顷。2020 年和2021年，仙游县闲置土地处置率分别为24.77%和34.62%，均已超过15%，符合《实施细则》的要求。</w:t>
      </w:r>
    </w:p>
    <w:p>
      <w:pPr>
        <w:pStyle w:val="5"/>
        <w:spacing w:line="240" w:lineRule="auto"/>
        <w:ind w:firstLine="267" w:firstLineChars="83"/>
        <w:rPr>
          <w:rFonts w:ascii="楷体" w:hAnsi="楷体" w:eastAsia="楷体" w:cs="楷体"/>
          <w:sz w:val="32"/>
        </w:rPr>
      </w:pPr>
      <w:bookmarkStart w:id="20" w:name="_Toc113223484"/>
      <w:bookmarkStart w:id="21" w:name="_Toc67952589"/>
      <w:r>
        <w:rPr>
          <w:rFonts w:hint="eastAsia" w:ascii="楷体" w:hAnsi="楷体" w:eastAsia="楷体" w:cs="楷体"/>
          <w:sz w:val="32"/>
        </w:rPr>
        <w:t>（二）开发区土地利用效率情况</w:t>
      </w:r>
      <w:bookmarkEnd w:id="20"/>
      <w:bookmarkEnd w:id="21"/>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本方案不涉及于福建仙游经济开发区（省级）内。仙游县共有1家省级以上开发区，福建仙游经济开发区（省级）。福建仙游经济开发区2018年开发区土地集约利用评价排名第25位，2019年排名第9位，2020年排名第42位；均不属于连续三年排在全省后三名的情况，符合《实施细则》的要求。</w:t>
      </w:r>
    </w:p>
    <w:p>
      <w:pPr>
        <w:pStyle w:val="5"/>
        <w:spacing w:line="240" w:lineRule="auto"/>
        <w:ind w:firstLine="263" w:firstLineChars="82"/>
        <w:rPr>
          <w:rFonts w:ascii="楷体" w:hAnsi="楷体" w:eastAsia="楷体" w:cs="楷体"/>
          <w:sz w:val="32"/>
        </w:rPr>
      </w:pPr>
      <w:bookmarkStart w:id="22" w:name="_Toc67952590"/>
      <w:bookmarkStart w:id="23" w:name="_Toc113223485"/>
      <w:r>
        <w:rPr>
          <w:rFonts w:hint="eastAsia" w:ascii="楷体" w:hAnsi="楷体" w:eastAsia="楷体" w:cs="楷体"/>
          <w:sz w:val="32"/>
        </w:rPr>
        <w:t>（三）已批准土地征收成片开发方案实施情况</w:t>
      </w:r>
      <w:bookmarkEnd w:id="22"/>
      <w:bookmarkEnd w:id="23"/>
    </w:p>
    <w:p>
      <w:pPr>
        <w:spacing w:line="240" w:lineRule="auto"/>
        <w:ind w:firstLine="640"/>
        <w:rPr>
          <w:rFonts w:ascii="宋体" w:hAnsi="宋体" w:cs="Times New Roman"/>
          <w:kern w:val="44"/>
          <w:sz w:val="32"/>
          <w:szCs w:val="32"/>
        </w:rPr>
      </w:pPr>
      <w:bookmarkStart w:id="24" w:name="_Hlk99553759"/>
      <w:r>
        <w:rPr>
          <w:rFonts w:hint="eastAsia" w:ascii="仿宋" w:hAnsi="仿宋" w:eastAsia="仿宋" w:cs="仿宋"/>
          <w:kern w:val="44"/>
          <w:sz w:val="32"/>
          <w:szCs w:val="32"/>
        </w:rPr>
        <w:t>2021年省人民政府共批复我县2个批次土地征收成片开发方案共5个，按年度计划合计应实施101.5030公顷，截止目前，已实施77.3344公顷,仙游县不存在已批准实施的土地征收成片开发连续两年未按方案实施的情形,符合自然资规〔2020〕5号文规定。</w:t>
      </w:r>
    </w:p>
    <w:bookmarkEnd w:id="24"/>
    <w:p>
      <w:pPr>
        <w:pStyle w:val="4"/>
        <w:spacing w:line="240" w:lineRule="auto"/>
        <w:rPr>
          <w:rFonts w:ascii="黑体" w:hAnsi="黑体" w:eastAsia="黑体" w:cs="黑体"/>
          <w:sz w:val="32"/>
          <w:szCs w:val="32"/>
        </w:rPr>
      </w:pPr>
      <w:bookmarkStart w:id="25" w:name="_Toc67952591"/>
      <w:bookmarkStart w:id="26" w:name="_Toc113223486"/>
      <w:r>
        <w:rPr>
          <w:rFonts w:hint="eastAsia" w:ascii="黑体" w:hAnsi="黑体" w:eastAsia="黑体" w:cs="黑体"/>
          <w:sz w:val="32"/>
          <w:szCs w:val="32"/>
        </w:rPr>
        <w:t>三、基本情况</w:t>
      </w:r>
      <w:bookmarkEnd w:id="25"/>
      <w:bookmarkEnd w:id="26"/>
    </w:p>
    <w:p>
      <w:pPr>
        <w:pStyle w:val="5"/>
        <w:spacing w:line="240" w:lineRule="auto"/>
        <w:ind w:firstLine="263" w:firstLineChars="82"/>
        <w:rPr>
          <w:rFonts w:ascii="楷体" w:hAnsi="楷体" w:eastAsia="楷体" w:cs="楷体"/>
          <w:sz w:val="32"/>
        </w:rPr>
      </w:pPr>
      <w:bookmarkStart w:id="27" w:name="_Toc67952592"/>
      <w:bookmarkStart w:id="28" w:name="_Toc113223487"/>
      <w:r>
        <w:rPr>
          <w:rFonts w:hint="eastAsia" w:ascii="楷体" w:hAnsi="楷体" w:eastAsia="楷体" w:cs="楷体"/>
          <w:sz w:val="32"/>
        </w:rPr>
        <w:t>（一）成片开发位置、范围、</w:t>
      </w:r>
      <w:bookmarkEnd w:id="27"/>
      <w:r>
        <w:rPr>
          <w:rFonts w:hint="eastAsia" w:ascii="楷体" w:hAnsi="楷体" w:eastAsia="楷体" w:cs="楷体"/>
          <w:sz w:val="32"/>
        </w:rPr>
        <w:t>面积</w:t>
      </w:r>
      <w:bookmarkEnd w:id="28"/>
    </w:p>
    <w:p>
      <w:pPr>
        <w:spacing w:line="240" w:lineRule="auto"/>
        <w:ind w:firstLine="640"/>
        <w:rPr>
          <w:rFonts w:ascii="仿宋" w:hAnsi="仿宋" w:eastAsia="仿宋" w:cs="仿宋"/>
          <w:sz w:val="32"/>
          <w:szCs w:val="32"/>
        </w:rPr>
      </w:pPr>
      <w:r>
        <w:rPr>
          <w:rFonts w:hint="eastAsia" w:ascii="仿宋" w:hAnsi="仿宋" w:eastAsia="仿宋" w:cs="仿宋"/>
          <w:sz w:val="32"/>
          <w:szCs w:val="32"/>
        </w:rPr>
        <w:t>本方案涉及盖尾镇琼峰村、莲井村、南宝峰村和榜头镇云庄村，共2个乡镇4个村。开发片区东接莲井村，南至南宝峰村，西与云庄村毗邻，北临居民点。具体见附表1和附图1。</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根据实地勘测调查，本方案成片开发范围总面积64.3039公顷，其中：农用地43.1597公顷（其中：耕地13.6883公顷），建设用地17.9701公顷，未利用地3.1741公顷。具体见附表1</w:t>
      </w:r>
      <w:bookmarkStart w:id="29" w:name="_Toc67952596"/>
      <w:r>
        <w:rPr>
          <w:rFonts w:hint="eastAsia" w:ascii="仿宋" w:hAnsi="仿宋" w:eastAsia="仿宋" w:cs="仿宋"/>
          <w:sz w:val="32"/>
          <w:szCs w:val="32"/>
        </w:rPr>
        <w:t>和附图2。</w:t>
      </w:r>
    </w:p>
    <w:p>
      <w:pPr>
        <w:pStyle w:val="5"/>
        <w:numPr>
          <w:ilvl w:val="0"/>
          <w:numId w:val="1"/>
        </w:numPr>
        <w:spacing w:line="240" w:lineRule="auto"/>
        <w:ind w:firstLine="263" w:firstLineChars="82"/>
        <w:rPr>
          <w:rFonts w:ascii="楷体" w:hAnsi="楷体" w:eastAsia="楷体" w:cs="楷体"/>
          <w:sz w:val="32"/>
        </w:rPr>
      </w:pPr>
      <w:bookmarkStart w:id="30" w:name="_Toc113223488"/>
      <w:r>
        <w:rPr>
          <w:rFonts w:hint="eastAsia" w:ascii="楷体" w:hAnsi="楷体" w:eastAsia="楷体" w:cs="楷体"/>
          <w:sz w:val="32"/>
        </w:rPr>
        <w:t>现状基础设施条件</w:t>
      </w:r>
      <w:bookmarkEnd w:id="30"/>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1．交通条件</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片区位于盖尾镇琼峰村东北部，西侧紧邻仙游中心城区。片区内现状道路以村道为主，道路系统基本满足条件，仙港大道从片区南侧穿过，交通条件优越。</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2</w:t>
      </w:r>
      <w:r>
        <w:rPr>
          <w:rFonts w:ascii="仿宋" w:hAnsi="仿宋" w:eastAsia="仿宋" w:cs="仿宋"/>
          <w:kern w:val="44"/>
          <w:sz w:val="32"/>
          <w:szCs w:val="32"/>
        </w:rPr>
        <w:t>.</w:t>
      </w:r>
      <w:r>
        <w:rPr>
          <w:rFonts w:hint="eastAsia" w:ascii="仿宋" w:hAnsi="仿宋" w:eastAsia="仿宋" w:cs="仿宋"/>
          <w:kern w:val="44"/>
          <w:sz w:val="32"/>
          <w:szCs w:val="32"/>
        </w:rPr>
        <w:t>电力条件</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规划内现状没有变电站，在其南面现有一座 220KV 盖尾变，该变电站电压等级为220KV/110KV/10KV，现有容量为 2*180MVA，远期容量为 3*180MVA。本区现状负荷由盖尾变电站供电。</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3</w:t>
      </w:r>
      <w:r>
        <w:rPr>
          <w:rFonts w:ascii="仿宋" w:hAnsi="仿宋" w:eastAsia="仿宋" w:cs="仿宋"/>
          <w:kern w:val="44"/>
          <w:sz w:val="32"/>
          <w:szCs w:val="32"/>
        </w:rPr>
        <w:t>.</w:t>
      </w:r>
      <w:r>
        <w:rPr>
          <w:rFonts w:hint="eastAsia" w:ascii="仿宋" w:hAnsi="仿宋" w:eastAsia="仿宋" w:cs="仿宋"/>
          <w:kern w:val="44"/>
          <w:sz w:val="32"/>
          <w:szCs w:val="32"/>
        </w:rPr>
        <w:t>通讯条件</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仙游县域内现有电信母局</w:t>
      </w:r>
      <w:r>
        <w:rPr>
          <w:rFonts w:ascii="仿宋" w:hAnsi="仿宋" w:eastAsia="仿宋" w:cs="仿宋"/>
          <w:kern w:val="44"/>
          <w:sz w:val="32"/>
          <w:szCs w:val="32"/>
        </w:rPr>
        <w:t>3座，分别为城东电信母局、城关电信母局和枫亭电信母局，共有模块、接入网点127个</w:t>
      </w:r>
      <w:r>
        <w:rPr>
          <w:rFonts w:hint="eastAsia" w:ascii="仿宋" w:hAnsi="仿宋" w:eastAsia="仿宋" w:cs="仿宋"/>
          <w:kern w:val="44"/>
          <w:sz w:val="32"/>
          <w:szCs w:val="32"/>
        </w:rPr>
        <w:t>。</w:t>
      </w:r>
      <w:r>
        <w:rPr>
          <w:rFonts w:ascii="仿宋" w:hAnsi="仿宋" w:eastAsia="仿宋" w:cs="仿宋"/>
          <w:kern w:val="44"/>
          <w:sz w:val="32"/>
          <w:szCs w:val="32"/>
        </w:rPr>
        <w:t>本片区内</w:t>
      </w:r>
      <w:r>
        <w:rPr>
          <w:rFonts w:hint="eastAsia" w:ascii="仿宋" w:hAnsi="仿宋" w:eastAsia="仿宋" w:cs="仿宋"/>
          <w:kern w:val="44"/>
          <w:sz w:val="32"/>
          <w:szCs w:val="32"/>
        </w:rPr>
        <w:t>现状没有电信局所，在其外围东南面现有一座盖尾电信局。</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4</w:t>
      </w:r>
      <w:r>
        <w:rPr>
          <w:rFonts w:ascii="仿宋" w:hAnsi="仿宋" w:eastAsia="仿宋" w:cs="仿宋"/>
          <w:kern w:val="44"/>
          <w:sz w:val="32"/>
          <w:szCs w:val="32"/>
        </w:rPr>
        <w:t>.</w:t>
      </w:r>
      <w:r>
        <w:rPr>
          <w:rFonts w:hint="eastAsia" w:ascii="仿宋" w:hAnsi="仿宋" w:eastAsia="仿宋" w:cs="仿宋"/>
          <w:kern w:val="44"/>
          <w:sz w:val="32"/>
          <w:szCs w:val="32"/>
        </w:rPr>
        <w:t>给排水条件</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本片区现状供水由位于规划区东向电力公司边上山头的盖尾水站和位于后井的后井水站联合供水。待片区内路网建设完成后，供水管网布置成环形状，排水采用雨污分流制。污水经过处理后排入市政管网，送至枫亭污水处理厂。</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5.防水排涝现状</w:t>
      </w:r>
    </w:p>
    <w:p>
      <w:pPr>
        <w:spacing w:line="240" w:lineRule="auto"/>
        <w:ind w:firstLine="640"/>
        <w:rPr>
          <w:rFonts w:ascii="宋体" w:hAnsi="宋体" w:cs="Times New Roman"/>
          <w:kern w:val="44"/>
          <w:sz w:val="32"/>
          <w:szCs w:val="32"/>
        </w:rPr>
      </w:pPr>
      <w:r>
        <w:rPr>
          <w:rFonts w:hint="eastAsia" w:ascii="仿宋" w:hAnsi="仿宋" w:eastAsia="仿宋" w:cs="仿宋"/>
          <w:kern w:val="44"/>
          <w:sz w:val="32"/>
          <w:szCs w:val="32"/>
        </w:rPr>
        <w:t>本片区内汇水可以快速排入木兰溪，木兰溪防洪标准采用五十年一遇；防山洪标准采用二十年一遇；内河排涝标准采用十年一遇。</w:t>
      </w:r>
    </w:p>
    <w:p>
      <w:pPr>
        <w:pStyle w:val="5"/>
        <w:spacing w:line="240" w:lineRule="auto"/>
        <w:ind w:firstLine="263" w:firstLineChars="82"/>
        <w:rPr>
          <w:rFonts w:ascii="楷体" w:hAnsi="楷体" w:eastAsia="楷体" w:cs="楷体"/>
          <w:sz w:val="32"/>
        </w:rPr>
      </w:pPr>
      <w:bookmarkStart w:id="31" w:name="_Toc113223489"/>
      <w:r>
        <w:rPr>
          <w:rFonts w:hint="eastAsia" w:ascii="楷体" w:hAnsi="楷体" w:eastAsia="楷体" w:cs="楷体"/>
          <w:sz w:val="32"/>
        </w:rPr>
        <w:t>（三）实施周期</w:t>
      </w:r>
      <w:bookmarkEnd w:id="29"/>
      <w:bookmarkEnd w:id="31"/>
    </w:p>
    <w:p>
      <w:pPr>
        <w:spacing w:line="240" w:lineRule="auto"/>
        <w:ind w:firstLine="640"/>
        <w:rPr>
          <w:rFonts w:ascii="仿宋" w:hAnsi="仿宋" w:eastAsia="仿宋" w:cs="仿宋"/>
          <w:sz w:val="32"/>
          <w:szCs w:val="32"/>
        </w:rPr>
      </w:pPr>
      <w:r>
        <w:rPr>
          <w:rFonts w:hint="eastAsia" w:ascii="仿宋" w:hAnsi="仿宋" w:eastAsia="仿宋" w:cs="仿宋"/>
          <w:sz w:val="32"/>
          <w:szCs w:val="32"/>
        </w:rPr>
        <w:t>综合考虑仙游县社会经济发展状况等因素，本方案实施周期为3年（2022年至2024年）。</w:t>
      </w:r>
    </w:p>
    <w:p>
      <w:pPr>
        <w:pStyle w:val="4"/>
        <w:spacing w:line="240" w:lineRule="auto"/>
        <w:rPr>
          <w:rFonts w:ascii="黑体" w:hAnsi="黑体" w:eastAsia="黑体" w:cs="黑体"/>
          <w:sz w:val="32"/>
          <w:szCs w:val="32"/>
        </w:rPr>
      </w:pPr>
      <w:bookmarkStart w:id="32" w:name="_Toc113223490"/>
      <w:r>
        <w:rPr>
          <w:rFonts w:hint="eastAsia" w:ascii="黑体" w:hAnsi="黑体" w:eastAsia="黑体" w:cs="黑体"/>
          <w:sz w:val="32"/>
          <w:szCs w:val="32"/>
        </w:rPr>
        <w:t>四、必要性分析</w:t>
      </w:r>
      <w:bookmarkEnd w:id="32"/>
    </w:p>
    <w:p>
      <w:pPr>
        <w:pStyle w:val="5"/>
        <w:spacing w:line="240" w:lineRule="auto"/>
        <w:ind w:firstLine="581" w:firstLineChars="181"/>
        <w:rPr>
          <w:rFonts w:ascii="楷体" w:hAnsi="楷体" w:eastAsia="楷体" w:cs="楷体"/>
          <w:sz w:val="32"/>
        </w:rPr>
      </w:pPr>
      <w:bookmarkStart w:id="33" w:name="_Toc113223491"/>
      <w:bookmarkStart w:id="34" w:name="_Toc15164"/>
      <w:r>
        <w:rPr>
          <w:rFonts w:hint="eastAsia" w:ascii="楷体" w:hAnsi="楷体" w:eastAsia="楷体" w:cs="楷体"/>
          <w:sz w:val="32"/>
        </w:rPr>
        <w:t>（一）必要性分析</w:t>
      </w:r>
      <w:bookmarkEnd w:id="33"/>
    </w:p>
    <w:bookmarkEnd w:id="34"/>
    <w:p>
      <w:pPr>
        <w:spacing w:line="240" w:lineRule="auto"/>
        <w:ind w:firstLine="640"/>
        <w:rPr>
          <w:rFonts w:ascii="仿宋" w:hAnsi="仿宋" w:eastAsia="仿宋" w:cs="仿宋"/>
          <w:sz w:val="32"/>
          <w:szCs w:val="32"/>
        </w:rPr>
      </w:pPr>
      <w:bookmarkStart w:id="35" w:name="_Hlk104314180"/>
      <w:r>
        <w:rPr>
          <w:rFonts w:hint="eastAsia" w:ascii="仿宋" w:hAnsi="仿宋" w:eastAsia="仿宋" w:cs="仿宋"/>
          <w:sz w:val="32"/>
          <w:szCs w:val="32"/>
        </w:rPr>
        <w:t>1、以电子核心基础产业为主导，合理布局上下游产业，不断提升产业竞争力。</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随着新能源汽车销量及渗透率快速提升、动力电池出货量大幅增长，三元正极材料行业需求快速增长。三元正极材料作为新能源产业的上游产业，能以市场为导向，不断吸引上下游产业的企业往仙游集聚，提升产业竞争力。拟入驻的国城控股集团有限公司是一家综合性、现代化大型企业集团，项目年均利润总额为301104.60万元，企业为高新技术企业，所得税税率按照15%计，项目年均净利润为255938.91万元。通过该项目的落地，能够为经济发展注入新动能，大力支持新能源汽车（高能量密度锂电池的研发与创新）及上游关键部件的发展，进一步通过扩大产能规模，提高规模化效应，降低产品成本，提高企业的市场竞争力。</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2、符合仙游县招商引资的实际需求，有助于开启产城融合新模式。</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瑞峰片区是集产业生产、科技研发、居住配套、生态休闲等功能为一体的产城融合示范区。本片区重点发展电子元器件等产业，与其他片区的发展定位既有差异化又有协同化。本项目固定资产投资为305314.11万元，可以进一步完善区域产业链和配套服务，加强组团内部的生活及生产性服务业的合理配套，同时也可以增强片区之间的联系，降低企业的生产成本，促进产城融合发展。能够实现城市土地集约化，提升土地价值，扩大产业空间，加速产业聚集。</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3、符合国家高质量发展战略规划，助推新能源产业发展。</w:t>
      </w:r>
    </w:p>
    <w:p>
      <w:pPr>
        <w:spacing w:line="240" w:lineRule="auto"/>
        <w:ind w:firstLine="640"/>
        <w:rPr>
          <w:rFonts w:eastAsia="仿宋"/>
        </w:rPr>
      </w:pPr>
      <w:r>
        <w:rPr>
          <w:rFonts w:hint="eastAsia" w:ascii="仿宋" w:hAnsi="仿宋" w:eastAsia="仿宋" w:cs="仿宋"/>
          <w:sz w:val="32"/>
          <w:szCs w:val="32"/>
        </w:rPr>
        <w:t>目前，我国已进入高质量发展阶段。2020年，我国提出2030年“碳达峰”与2060年“碳中和”目标。伴随着我国对化石能源发电的限制，新能源装机量和发电量快速攀升。国家对新能源汽车产业的支持将持续，越来越多的传统燃油车企开始布局新能源汽车领域，且随着国外车企如宝马、现代等开始逐渐采购中国大陆产动力电池，中国动力电池出口量将逐渐增多，动力电池将成为中国未来锂离子电池市场的主要增长动力。本项目的发展可以加快锂电池产业创新速度，加快培育和发展锂电新能源产业，提升企业竞争优势，符合新发展格局下锂电新能源发展的需求。因此，本项目属于国家支持的政策方向，符合国家发展战略规划，项目实施具有可行性。</w:t>
      </w:r>
    </w:p>
    <w:bookmarkEnd w:id="35"/>
    <w:p>
      <w:pPr>
        <w:pStyle w:val="5"/>
        <w:spacing w:line="240" w:lineRule="auto"/>
        <w:ind w:firstLine="263" w:firstLineChars="82"/>
        <w:rPr>
          <w:sz w:val="32"/>
        </w:rPr>
      </w:pPr>
      <w:bookmarkStart w:id="36" w:name="_Toc113223492"/>
      <w:r>
        <w:rPr>
          <w:rFonts w:hint="eastAsia" w:ascii="楷体" w:hAnsi="楷体" w:eastAsia="楷体" w:cs="楷体"/>
          <w:sz w:val="32"/>
        </w:rPr>
        <w:t>（二）科学合理性分析</w:t>
      </w:r>
      <w:bookmarkEnd w:id="36"/>
    </w:p>
    <w:p>
      <w:pPr>
        <w:spacing w:line="240" w:lineRule="auto"/>
        <w:ind w:firstLine="640"/>
        <w:rPr>
          <w:rFonts w:ascii="仿宋" w:hAnsi="仿宋" w:eastAsia="仿宋" w:cs="仿宋"/>
          <w:sz w:val="32"/>
          <w:szCs w:val="32"/>
        </w:rPr>
      </w:pPr>
      <w:bookmarkStart w:id="37" w:name="_Hlk104314410"/>
      <w:r>
        <w:rPr>
          <w:rFonts w:hint="eastAsia" w:ascii="仿宋" w:hAnsi="仿宋" w:eastAsia="仿宋" w:cs="仿宋"/>
          <w:sz w:val="32"/>
          <w:szCs w:val="32"/>
        </w:rPr>
        <w:t>1、选址和功能科学合理</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瑞峰片区涉及的榜头镇和盖尾镇是仙游城县域空间结构“一脊、一环、三 心、三片”中重要节点，该片区是仙游县“强产业、兴城市”三年行动计划暨十四五规划重点改造区域。仙游县中心城区与瑞峰片区毗邻，仙港大道从项目南侧穿过，项目区位交通条件优越，可以与城区产生良好互动，形成产业集群及规模效应。仙游县十三五规划提出瑞峰片区发展新一代电子信息产业，打造电子信息高新技术产业园，本片区落地项目以三元正极材料生产项目为主，符合该片区的功能定位。此外，方案内未占用永久基本农田保护区、生态保护红线及其他各类保护区，不涉及河道蓝线。</w:t>
      </w:r>
    </w:p>
    <w:p>
      <w:pPr>
        <w:spacing w:line="240" w:lineRule="auto"/>
        <w:ind w:firstLine="64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、用地规模、结构及实施安排合理性</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本方案用地总规模64.3039公顷,符合闽自然资发〔2021〕 3号文关于县（市）成片开发范围一般不小于4公顷的规定；方案配套建设有城镇道路用地和公园绿地等公益性用地面积27公顷，占比41.99%，符合闽自然资发〔2021〕3号关于</w:t>
      </w:r>
      <w:r>
        <w:rPr>
          <w:rFonts w:hint="eastAsia" w:ascii="仿宋" w:hAnsi="仿宋" w:eastAsia="仿宋" w:cs="仿宋"/>
          <w:color w:val="333333"/>
          <w:sz w:val="32"/>
          <w:szCs w:val="32"/>
          <w:shd w:val="clear" w:color="auto" w:fill="FFFFFF"/>
        </w:rPr>
        <w:t>公益性用地占比须在</w:t>
      </w:r>
      <w:r>
        <w:rPr>
          <w:rFonts w:hint="eastAsia" w:ascii="仿宋" w:hAnsi="仿宋" w:eastAsia="仿宋" w:cs="仿宋"/>
          <w:sz w:val="32"/>
          <w:szCs w:val="32"/>
        </w:rPr>
        <w:t>40%</w:t>
      </w:r>
      <w:r>
        <w:rPr>
          <w:rFonts w:hint="eastAsia" w:ascii="仿宋" w:hAnsi="仿宋" w:eastAsia="仿宋" w:cs="仿宋"/>
          <w:color w:val="333333"/>
          <w:sz w:val="32"/>
          <w:szCs w:val="32"/>
          <w:shd w:val="clear" w:color="auto" w:fill="FFFFFF"/>
        </w:rPr>
        <w:t>以上的规定，</w:t>
      </w:r>
      <w:r>
        <w:rPr>
          <w:rFonts w:hint="eastAsia" w:ascii="仿宋" w:hAnsi="仿宋" w:eastAsia="仿宋" w:cs="仿宋"/>
          <w:sz w:val="32"/>
          <w:szCs w:val="32"/>
        </w:rPr>
        <w:t>可满足片区居民在交通出行服务、慢行、休闲游憩等方面需求；方案计划在3年内实施完毕，符合片区项目规划实施进度安排。</w:t>
      </w:r>
    </w:p>
    <w:p>
      <w:pPr>
        <w:spacing w:line="240" w:lineRule="auto"/>
        <w:ind w:firstLine="640"/>
        <w:rPr>
          <w:rFonts w:ascii="仿宋" w:hAnsi="仿宋" w:eastAsia="仿宋" w:cs="仿宋"/>
          <w:sz w:val="32"/>
          <w:szCs w:val="32"/>
        </w:rPr>
      </w:pPr>
      <w:r>
        <w:rPr>
          <w:rFonts w:hint="eastAsia" w:ascii="仿宋" w:hAnsi="仿宋" w:eastAsia="仿宋" w:cs="仿宋"/>
          <w:sz w:val="32"/>
          <w:szCs w:val="32"/>
        </w:rPr>
        <w:t>综上，本方案在选址、功能定位及用地布局和实施安排上是合理的</w:t>
      </w:r>
      <w:bookmarkEnd w:id="37"/>
      <w:r>
        <w:rPr>
          <w:rFonts w:hint="eastAsia" w:ascii="仿宋" w:hAnsi="仿宋" w:eastAsia="仿宋" w:cs="仿宋"/>
          <w:sz w:val="32"/>
          <w:szCs w:val="32"/>
        </w:rPr>
        <w:t>。</w:t>
      </w:r>
    </w:p>
    <w:p>
      <w:pPr>
        <w:pStyle w:val="4"/>
        <w:spacing w:line="240" w:lineRule="auto"/>
        <w:rPr>
          <w:rFonts w:ascii="黑体" w:hAnsi="黑体" w:eastAsia="黑体" w:cs="黑体"/>
          <w:sz w:val="32"/>
          <w:szCs w:val="32"/>
        </w:rPr>
      </w:pPr>
      <w:bookmarkStart w:id="38" w:name="_Toc113223493"/>
      <w:bookmarkStart w:id="39" w:name="_Toc67952601"/>
      <w:r>
        <w:rPr>
          <w:rFonts w:hint="eastAsia" w:ascii="黑体" w:hAnsi="黑体" w:eastAsia="黑体" w:cs="黑体"/>
          <w:sz w:val="32"/>
          <w:szCs w:val="32"/>
        </w:rPr>
        <w:t>五、主要用途、实现功能及公益性用地比例</w:t>
      </w:r>
      <w:bookmarkEnd w:id="38"/>
      <w:bookmarkEnd w:id="39"/>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本方案用地总面积 64.3039公顷，主要用途为工矿用地。其中，工矿用地总面积37.3039公顷，全部为工业用地，实现工业生产功能，促进区域经济发展；公共管理与公共服务设施用地总面积17.2393公顷，全部为医疗卫生用地，为周边居民提供医疗场所；交通运输用地总面积7.8515公顷，全部为城镇道路用地，促进片区的内外交通优化，方便片区内的工人上下班通勤，完善了仙游县的城镇化建设基础骨架；绿地与开敞空间用地总面积1.2251公顷，全部为防护绿地，具有卫生、隔离、安全、生态防护功能。水域和其他用地总面积0.6841公顷，全部为水域，能够强化城市景观，维护生态功能。公益性用地包含公共管理与公共服务设施用地、绿地与开敞空间用地、交通运输用地和域和其他用地，合计27公顷，占用地总面积的41.99%。符合自然资源部关于印发《土地征收成片开发标准（试行）》自然资〔2020〕5号的规定。</w:t>
      </w:r>
    </w:p>
    <w:p>
      <w:pPr>
        <w:pStyle w:val="4"/>
        <w:spacing w:line="240" w:lineRule="auto"/>
        <w:rPr>
          <w:rFonts w:ascii="黑体" w:hAnsi="黑体" w:eastAsia="黑体" w:cs="黑体"/>
          <w:sz w:val="32"/>
          <w:szCs w:val="32"/>
        </w:rPr>
      </w:pPr>
      <w:bookmarkStart w:id="40" w:name="_Toc67952604"/>
      <w:bookmarkStart w:id="41" w:name="_Toc113223494"/>
      <w:r>
        <w:rPr>
          <w:rFonts w:hint="eastAsia" w:ascii="黑体" w:hAnsi="黑体" w:eastAsia="黑体" w:cs="黑体"/>
          <w:sz w:val="32"/>
          <w:szCs w:val="32"/>
        </w:rPr>
        <w:t>六、拟建项目及实施计划</w:t>
      </w:r>
      <w:bookmarkEnd w:id="40"/>
      <w:bookmarkEnd w:id="41"/>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本方案用地总面积64.3039公顷，拟安排实施项目面积64.3039公顷，计划实施周期为2022年-2024年，3年内实施完毕。其中：2022年实施面积17.7211顷、完成比例27.56%，含医疗卫生用地17.2393公顷，防护绿地0.3484公顷，水域0.1334公顷；2023年实施面积28.7946公顷、完成比例44.78%，含防护绿地0.8768</w:t>
      </w:r>
      <w:r>
        <w:rPr>
          <w:rFonts w:ascii="仿宋" w:hAnsi="仿宋" w:eastAsia="仿宋" w:cs="仿宋"/>
          <w:kern w:val="44"/>
          <w:sz w:val="32"/>
          <w:szCs w:val="32"/>
        </w:rPr>
        <w:t>公顷，</w:t>
      </w:r>
      <w:r>
        <w:rPr>
          <w:rFonts w:hint="eastAsia" w:ascii="仿宋" w:hAnsi="仿宋" w:eastAsia="仿宋" w:cs="仿宋"/>
          <w:kern w:val="44"/>
          <w:sz w:val="32"/>
          <w:szCs w:val="32"/>
        </w:rPr>
        <w:t>工业用地27.3672</w:t>
      </w:r>
      <w:r>
        <w:rPr>
          <w:rFonts w:ascii="仿宋" w:hAnsi="仿宋" w:eastAsia="仿宋" w:cs="仿宋"/>
          <w:kern w:val="44"/>
          <w:sz w:val="32"/>
          <w:szCs w:val="32"/>
        </w:rPr>
        <w:t>公顷</w:t>
      </w:r>
      <w:r>
        <w:rPr>
          <w:rFonts w:hint="eastAsia" w:ascii="仿宋" w:hAnsi="仿宋" w:eastAsia="仿宋" w:cs="仿宋"/>
          <w:kern w:val="44"/>
          <w:sz w:val="32"/>
          <w:szCs w:val="32"/>
        </w:rPr>
        <w:t>，水域0.5506公顷；2024年实施面积17.7882公顷、完成比例27.66%，含城镇道路用地7.8515</w:t>
      </w:r>
      <w:r>
        <w:rPr>
          <w:rFonts w:ascii="仿宋" w:hAnsi="仿宋" w:eastAsia="仿宋" w:cs="仿宋"/>
          <w:kern w:val="44"/>
          <w:sz w:val="32"/>
          <w:szCs w:val="32"/>
        </w:rPr>
        <w:t>公顷</w:t>
      </w:r>
      <w:r>
        <w:rPr>
          <w:rFonts w:hint="eastAsia" w:ascii="仿宋" w:hAnsi="仿宋" w:eastAsia="仿宋" w:cs="仿宋"/>
          <w:kern w:val="44"/>
          <w:sz w:val="32"/>
          <w:szCs w:val="32"/>
        </w:rPr>
        <w:t>，</w:t>
      </w:r>
      <w:r>
        <w:rPr>
          <w:rFonts w:ascii="仿宋" w:hAnsi="仿宋" w:eastAsia="仿宋" w:cs="仿宋"/>
          <w:kern w:val="44"/>
          <w:sz w:val="32"/>
          <w:szCs w:val="32"/>
        </w:rPr>
        <w:t>工业用地</w:t>
      </w:r>
      <w:r>
        <w:rPr>
          <w:rFonts w:hint="eastAsia" w:ascii="仿宋" w:hAnsi="仿宋" w:eastAsia="仿宋" w:cs="仿宋"/>
          <w:kern w:val="44"/>
          <w:sz w:val="32"/>
          <w:szCs w:val="32"/>
        </w:rPr>
        <w:t>9.9367</w:t>
      </w:r>
      <w:r>
        <w:rPr>
          <w:rFonts w:ascii="仿宋" w:hAnsi="仿宋" w:eastAsia="仿宋" w:cs="仿宋"/>
          <w:kern w:val="44"/>
          <w:sz w:val="32"/>
          <w:szCs w:val="32"/>
        </w:rPr>
        <w:t>公顷</w:t>
      </w:r>
      <w:r>
        <w:rPr>
          <w:rFonts w:hint="eastAsia" w:ascii="仿宋" w:hAnsi="仿宋" w:eastAsia="仿宋" w:cs="仿宋"/>
          <w:kern w:val="44"/>
          <w:sz w:val="32"/>
          <w:szCs w:val="32"/>
        </w:rPr>
        <w:t>。具体见附表3、</w:t>
      </w:r>
      <w:r>
        <w:rPr>
          <w:rFonts w:ascii="仿宋" w:hAnsi="仿宋" w:eastAsia="仿宋" w:cs="仿宋"/>
          <w:kern w:val="44"/>
          <w:sz w:val="32"/>
          <w:szCs w:val="32"/>
        </w:rPr>
        <w:t>4</w:t>
      </w:r>
      <w:r>
        <w:rPr>
          <w:rFonts w:hint="eastAsia" w:ascii="仿宋" w:hAnsi="仿宋" w:eastAsia="仿宋" w:cs="仿宋"/>
          <w:kern w:val="44"/>
          <w:sz w:val="32"/>
          <w:szCs w:val="32"/>
        </w:rPr>
        <w:t>。</w:t>
      </w:r>
    </w:p>
    <w:p>
      <w:pPr>
        <w:pStyle w:val="4"/>
        <w:spacing w:line="240" w:lineRule="auto"/>
        <w:rPr>
          <w:rFonts w:ascii="黑体" w:hAnsi="黑体" w:eastAsia="黑体" w:cs="黑体"/>
          <w:sz w:val="32"/>
          <w:szCs w:val="32"/>
        </w:rPr>
      </w:pPr>
      <w:bookmarkStart w:id="42" w:name="_Toc67952605"/>
      <w:bookmarkStart w:id="43" w:name="_Toc113223495"/>
      <w:r>
        <w:rPr>
          <w:rFonts w:hint="eastAsia" w:ascii="黑体" w:hAnsi="黑体" w:eastAsia="黑体" w:cs="黑体"/>
          <w:sz w:val="32"/>
          <w:szCs w:val="32"/>
        </w:rPr>
        <w:t>七、合规性分析</w:t>
      </w:r>
      <w:bookmarkEnd w:id="42"/>
      <w:bookmarkEnd w:id="43"/>
    </w:p>
    <w:p>
      <w:pPr>
        <w:pStyle w:val="5"/>
        <w:spacing w:line="240" w:lineRule="auto"/>
        <w:ind w:firstLine="263" w:firstLineChars="82"/>
        <w:rPr>
          <w:rFonts w:ascii="楷体" w:hAnsi="楷体" w:eastAsia="楷体" w:cs="楷体"/>
          <w:sz w:val="32"/>
        </w:rPr>
      </w:pPr>
      <w:bookmarkStart w:id="44" w:name="_Toc113223496"/>
      <w:r>
        <w:rPr>
          <w:rFonts w:hint="eastAsia" w:ascii="楷体" w:hAnsi="楷体" w:eastAsia="楷体" w:cs="楷体"/>
          <w:sz w:val="32"/>
        </w:rPr>
        <w:t>（一）国土空间规划</w:t>
      </w:r>
      <w:bookmarkEnd w:id="44"/>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通过对接《仙游县土地利用总体规划（2006-2020年）调整完善方案》，成片开发范围位于土地利用总体规划确定的允许建设区和有条件建设区内,符合要求。仙游县人民政府承诺该成片开发方案获批后，将把土地征收成片开发范围纳入过渡期城镇开发边界及国土空间规划确定的城镇开发边界内的集中建设区，并符合规划管控要求。</w:t>
      </w:r>
    </w:p>
    <w:p>
      <w:pPr>
        <w:pStyle w:val="5"/>
        <w:spacing w:line="240" w:lineRule="auto"/>
        <w:ind w:firstLine="263" w:firstLineChars="82"/>
        <w:rPr>
          <w:sz w:val="32"/>
        </w:rPr>
      </w:pPr>
      <w:bookmarkStart w:id="45" w:name="_Toc113223497"/>
      <w:r>
        <w:rPr>
          <w:rFonts w:hint="eastAsia" w:ascii="楷体" w:hAnsi="楷体" w:eastAsia="楷体" w:cs="楷体"/>
          <w:sz w:val="32"/>
        </w:rPr>
        <w:t>（二）国民经济和社会发展规划、年度计划</w:t>
      </w:r>
      <w:bookmarkEnd w:id="45"/>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仙游县国民经济和社会发展第十四个五年规划和二〇三五年远景目标纲要》指出重点推动五大片区联动发展，明晰各片区功能定位和规划引领，突出抱团发展、有序建设、集约开发。瑞峰片区位于城乡空间发展方向的“南进”片区，规划打造集产业生产、科技研发、居住配套、生态休闲等功能为一体的产城融合示范区，以电子信息产业为主导，高品质生态环境为特色，集生活公共服务为一体。综上，本次土地征收成片开发方案符合国民经济和社会发展规划和年度计划，方案将纳入仙游县 2022 年国民经济和社会发展年度计划。</w:t>
      </w:r>
    </w:p>
    <w:p>
      <w:pPr>
        <w:pStyle w:val="5"/>
        <w:spacing w:line="240" w:lineRule="auto"/>
        <w:ind w:firstLine="263" w:firstLineChars="82"/>
        <w:rPr>
          <w:rFonts w:ascii="楷体" w:hAnsi="楷体" w:eastAsia="楷体" w:cs="楷体"/>
          <w:sz w:val="32"/>
        </w:rPr>
      </w:pPr>
      <w:bookmarkStart w:id="46" w:name="_Toc113223498"/>
      <w:r>
        <w:rPr>
          <w:rFonts w:hint="eastAsia" w:ascii="楷体" w:hAnsi="楷体" w:eastAsia="楷体" w:cs="楷体"/>
          <w:sz w:val="32"/>
        </w:rPr>
        <w:t>（三）占用永久基本农田和其他法律法规规定不允许占用或开发的</w:t>
      </w:r>
      <w:bookmarkEnd w:id="46"/>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本方案未占用永久基本农田，不涉及自然保护区、森林公园、湿地公园、重要湿地、风景名胜区、饮用水源保护区、海岸线、生态保护红线等其他法律法规规定不允许占用或开发的区域。</w:t>
      </w:r>
    </w:p>
    <w:p>
      <w:pPr>
        <w:spacing w:line="240" w:lineRule="auto"/>
        <w:ind w:firstLine="640"/>
        <w:rPr>
          <w:rFonts w:ascii="仿宋" w:hAnsi="仿宋" w:eastAsia="仿宋" w:cs="仿宋"/>
          <w:kern w:val="44"/>
          <w:sz w:val="32"/>
          <w:szCs w:val="32"/>
        </w:rPr>
      </w:pPr>
      <w:bookmarkStart w:id="47" w:name="_Hlk99553839"/>
      <w:r>
        <w:rPr>
          <w:rFonts w:hint="eastAsia" w:ascii="仿宋" w:hAnsi="仿宋" w:eastAsia="仿宋" w:cs="仿宋"/>
          <w:kern w:val="44"/>
          <w:sz w:val="32"/>
          <w:szCs w:val="32"/>
        </w:rPr>
        <w:t>本片区范围内不涉及名城名镇名村、传统村落和历史建筑保护,不涉及国保、省保、县保等保护单位及其建设控制地带和一般文物，不涉及50年以上建筑。</w:t>
      </w:r>
    </w:p>
    <w:bookmarkEnd w:id="47"/>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综上所述，仙游县</w:t>
      </w:r>
      <w:r>
        <w:rPr>
          <w:rFonts w:ascii="仿宋" w:hAnsi="仿宋" w:eastAsia="仿宋" w:cs="仿宋"/>
          <w:kern w:val="44"/>
          <w:sz w:val="32"/>
          <w:szCs w:val="32"/>
        </w:rPr>
        <w:t>2022年度</w:t>
      </w:r>
      <w:r>
        <w:rPr>
          <w:rFonts w:hint="eastAsia" w:ascii="仿宋" w:hAnsi="仿宋" w:eastAsia="仿宋" w:cs="仿宋"/>
          <w:kern w:val="44"/>
          <w:sz w:val="32"/>
          <w:szCs w:val="32"/>
        </w:rPr>
        <w:t>瑞峰片区</w:t>
      </w:r>
      <w:r>
        <w:rPr>
          <w:rFonts w:ascii="仿宋" w:hAnsi="仿宋" w:eastAsia="仿宋" w:cs="仿宋"/>
          <w:kern w:val="44"/>
          <w:sz w:val="32"/>
          <w:szCs w:val="32"/>
        </w:rPr>
        <w:t>土地征收成片开发方案</w:t>
      </w:r>
      <w:r>
        <w:rPr>
          <w:rFonts w:hint="eastAsia" w:ascii="仿宋" w:hAnsi="仿宋" w:eastAsia="仿宋" w:cs="仿宋"/>
          <w:kern w:val="44"/>
          <w:sz w:val="32"/>
          <w:szCs w:val="32"/>
        </w:rPr>
        <w:t>属于《土地征收成片开发标准（试行）》中批准土地征收成片开发方案的范围。</w:t>
      </w:r>
    </w:p>
    <w:p>
      <w:pPr>
        <w:pStyle w:val="4"/>
        <w:spacing w:line="240" w:lineRule="auto"/>
        <w:rPr>
          <w:rFonts w:ascii="黑体" w:hAnsi="黑体" w:eastAsia="黑体" w:cs="黑体"/>
          <w:sz w:val="32"/>
          <w:szCs w:val="32"/>
        </w:rPr>
      </w:pPr>
      <w:bookmarkStart w:id="48" w:name="_Toc113223499"/>
      <w:bookmarkStart w:id="49" w:name="_Toc67952609"/>
      <w:r>
        <w:rPr>
          <w:rFonts w:hint="eastAsia" w:ascii="黑体" w:hAnsi="黑体" w:eastAsia="黑体" w:cs="黑体"/>
          <w:sz w:val="32"/>
          <w:szCs w:val="32"/>
        </w:rPr>
        <w:t>八、效益评估</w:t>
      </w:r>
      <w:bookmarkEnd w:id="48"/>
      <w:bookmarkEnd w:id="49"/>
    </w:p>
    <w:p>
      <w:pPr>
        <w:pStyle w:val="5"/>
        <w:spacing w:line="240" w:lineRule="auto"/>
        <w:ind w:firstLine="263" w:firstLineChars="82"/>
        <w:rPr>
          <w:rFonts w:ascii="楷体" w:hAnsi="楷体" w:eastAsia="楷体" w:cs="楷体"/>
          <w:sz w:val="32"/>
        </w:rPr>
      </w:pPr>
      <w:bookmarkStart w:id="50" w:name="_Toc113223500"/>
      <w:bookmarkStart w:id="51" w:name="_Toc67952610"/>
      <w:r>
        <w:rPr>
          <w:rFonts w:hint="eastAsia" w:ascii="楷体" w:hAnsi="楷体" w:eastAsia="楷体" w:cs="楷体"/>
          <w:sz w:val="32"/>
        </w:rPr>
        <w:t>（一）土地利用效益</w:t>
      </w:r>
      <w:bookmarkEnd w:id="50"/>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本方案通过合理安排用地规模、结构和布局，优化土地利用空间格局，因地制宜配置用地，使得盖尾镇土地节约集约水平得到提高，现有用地的利用效益得以提高。本方案占地面积64.3039公顷，工业用地容积率不低于1.1，建筑密度不低于45%，均符合《福建省工业项目建设用地控制指标》（闽国土资综（2013）197号）关于容积率和建筑密度的要求。</w:t>
      </w:r>
    </w:p>
    <w:p>
      <w:pPr>
        <w:pStyle w:val="5"/>
        <w:spacing w:line="240" w:lineRule="auto"/>
        <w:ind w:firstLine="263" w:firstLineChars="82"/>
        <w:rPr>
          <w:rFonts w:ascii="楷体" w:hAnsi="楷体" w:eastAsia="楷体" w:cs="楷体"/>
          <w:color w:val="FF0000"/>
          <w:sz w:val="32"/>
        </w:rPr>
      </w:pPr>
      <w:bookmarkStart w:id="52" w:name="_Toc113223501"/>
      <w:r>
        <w:rPr>
          <w:rFonts w:hint="eastAsia" w:ascii="楷体" w:hAnsi="楷体" w:eastAsia="楷体" w:cs="楷体"/>
          <w:sz w:val="32"/>
        </w:rPr>
        <w:t>（二）经济效益</w:t>
      </w:r>
      <w:bookmarkEnd w:id="51"/>
      <w:bookmarkEnd w:id="52"/>
    </w:p>
    <w:p>
      <w:pPr>
        <w:spacing w:line="240" w:lineRule="auto"/>
        <w:ind w:firstLine="640"/>
        <w:rPr>
          <w:rFonts w:ascii="仿宋" w:hAnsi="仿宋" w:eastAsia="仿宋" w:cs="仿宋"/>
          <w:sz w:val="32"/>
          <w:szCs w:val="32"/>
        </w:rPr>
      </w:pPr>
      <w:r>
        <w:rPr>
          <w:rFonts w:hint="eastAsia" w:ascii="仿宋" w:hAnsi="仿宋" w:eastAsia="仿宋" w:cs="仿宋"/>
          <w:sz w:val="32"/>
          <w:szCs w:val="32"/>
        </w:rPr>
        <w:t>盖尾镇位于仙游产城融合规划“一轴三心三大片区”中的盖尾片区。工业用地集中建设有利于产业和生产要素集聚和区域经济发展整体规划，优化盖尾镇产业布局，发挥产业规模效应，在市场的作用下吸引更多企业进来，提高创新力和竞争力，促使企业向专业化、社会化发展，有利于形成产业集群，促进区域经济发展。项目报批总投资为固定资产投资与铺底流动资金之和，铺底流动资金为流动资金的30%计166498.86万元，固定资产投资为305314.11万元，按铺底流动资金计算的项目总投资为471812.97万元；按照全部流动资金计算的项目总投资为860310.31万元。</w:t>
      </w:r>
    </w:p>
    <w:p>
      <w:pPr>
        <w:spacing w:line="240" w:lineRule="auto"/>
        <w:ind w:firstLine="640"/>
        <w:rPr>
          <w:rFonts w:ascii="仿宋" w:hAnsi="仿宋" w:eastAsia="仿宋" w:cs="仿宋"/>
          <w:kern w:val="44"/>
          <w:sz w:val="32"/>
          <w:szCs w:val="32"/>
        </w:rPr>
      </w:pPr>
      <w:r>
        <w:rPr>
          <w:rFonts w:hint="eastAsia" w:ascii="仿宋" w:hAnsi="仿宋" w:eastAsia="仿宋" w:cs="仿宋"/>
          <w:sz w:val="32"/>
          <w:szCs w:val="32"/>
        </w:rPr>
        <w:t>结合片区内意向企业的财务分析，从财务评价指标和现金流量表来看，从2024年起，未来14年项目所得税后投资财务内部收益率46.9%，大于基准收益率8.0%，税后投资财务净现值839116.14万元，具有良好的经济效益。</w:t>
      </w:r>
    </w:p>
    <w:p>
      <w:pPr>
        <w:pStyle w:val="5"/>
        <w:spacing w:line="240" w:lineRule="auto"/>
        <w:ind w:firstLine="263" w:firstLineChars="82"/>
        <w:rPr>
          <w:rFonts w:ascii="楷体" w:hAnsi="楷体" w:eastAsia="楷体" w:cs="楷体"/>
          <w:sz w:val="32"/>
        </w:rPr>
      </w:pPr>
      <w:bookmarkStart w:id="53" w:name="_Toc113223502"/>
      <w:bookmarkStart w:id="54" w:name="_Toc67952611"/>
      <w:r>
        <w:rPr>
          <w:rFonts w:hint="eastAsia" w:ascii="楷体" w:hAnsi="楷体" w:eastAsia="楷体" w:cs="楷体"/>
          <w:sz w:val="32"/>
        </w:rPr>
        <w:t>（三）社会效益</w:t>
      </w:r>
      <w:bookmarkEnd w:id="53"/>
      <w:bookmarkEnd w:id="54"/>
    </w:p>
    <w:p>
      <w:pPr>
        <w:spacing w:line="240" w:lineRule="auto"/>
        <w:ind w:firstLine="640"/>
        <w:rPr>
          <w:rFonts w:ascii="仿宋" w:hAnsi="仿宋" w:eastAsia="仿宋" w:cs="仿宋"/>
          <w:kern w:val="44"/>
          <w:sz w:val="32"/>
          <w:szCs w:val="32"/>
        </w:rPr>
      </w:pPr>
      <w:bookmarkStart w:id="55" w:name="_Hlk104314571"/>
      <w:r>
        <w:rPr>
          <w:rFonts w:hint="eastAsia" w:ascii="仿宋" w:hAnsi="仿宋" w:eastAsia="仿宋" w:cs="仿宋"/>
          <w:sz w:val="32"/>
          <w:szCs w:val="32"/>
        </w:rPr>
        <w:t>本区涉及产业布局规划中的瑞峰片区，规划产业定位为电子信息产业。项目建设以《“十三五”国家战略性新兴产业发展规划》为指导，有利于产业研发创新，有利于推进产业人才聚集，推动盖尾镇电子信息产业发展；有利于扩大就业，吸引就近人才就业，为当地提供约300个就业岗位，有助于解决仙游县农村富余劳动力的就业问题，缓解社会就业压力，保障社会稳定，具有积极的社会效益</w:t>
      </w:r>
      <w:r>
        <w:rPr>
          <w:rFonts w:hint="eastAsia" w:ascii="仿宋" w:hAnsi="仿宋" w:eastAsia="仿宋" w:cs="仿宋"/>
          <w:kern w:val="44"/>
          <w:sz w:val="32"/>
          <w:szCs w:val="32"/>
        </w:rPr>
        <w:t>。</w:t>
      </w:r>
    </w:p>
    <w:bookmarkEnd w:id="55"/>
    <w:p>
      <w:pPr>
        <w:pStyle w:val="5"/>
        <w:spacing w:line="240" w:lineRule="auto"/>
        <w:ind w:firstLine="263" w:firstLineChars="82"/>
        <w:rPr>
          <w:rFonts w:ascii="楷体" w:hAnsi="楷体" w:eastAsia="楷体" w:cs="楷体"/>
          <w:sz w:val="32"/>
        </w:rPr>
      </w:pPr>
      <w:bookmarkStart w:id="56" w:name="_Toc113223503"/>
      <w:bookmarkStart w:id="57" w:name="_Toc67952612"/>
      <w:r>
        <w:rPr>
          <w:rFonts w:hint="eastAsia" w:ascii="楷体" w:hAnsi="楷体" w:eastAsia="楷体" w:cs="楷体"/>
          <w:sz w:val="32"/>
        </w:rPr>
        <w:t>（四）生态效益</w:t>
      </w:r>
      <w:bookmarkEnd w:id="56"/>
      <w:bookmarkEnd w:id="57"/>
    </w:p>
    <w:p>
      <w:pPr>
        <w:spacing w:line="240" w:lineRule="auto"/>
        <w:ind w:firstLine="640"/>
        <w:rPr>
          <w:rFonts w:ascii="仿宋" w:hAnsi="仿宋" w:eastAsia="仿宋" w:cs="仿宋"/>
          <w:sz w:val="32"/>
          <w:szCs w:val="32"/>
        </w:rPr>
      </w:pPr>
      <w:bookmarkStart w:id="58" w:name="_Hlk104314612"/>
      <w:r>
        <w:rPr>
          <w:rFonts w:hint="eastAsia" w:ascii="仿宋" w:hAnsi="仿宋" w:eastAsia="仿宋" w:cs="仿宋"/>
          <w:sz w:val="32"/>
          <w:szCs w:val="32"/>
        </w:rPr>
        <w:t>该方案沿道路设置防护绿地</w:t>
      </w:r>
      <w:r>
        <w:rPr>
          <w:rFonts w:hint="eastAsia" w:ascii="仿宋" w:hAnsi="仿宋" w:eastAsia="仿宋" w:cs="仿宋"/>
          <w:kern w:val="0"/>
          <w:sz w:val="32"/>
          <w:szCs w:val="32"/>
        </w:rPr>
        <w:t>1.2251公顷，</w:t>
      </w:r>
      <w:r>
        <w:rPr>
          <w:rFonts w:hint="eastAsia" w:ascii="仿宋" w:hAnsi="仿宋" w:eastAsia="仿宋" w:cs="仿宋"/>
          <w:sz w:val="32"/>
          <w:szCs w:val="32"/>
        </w:rPr>
        <w:t>提高了片区绿化面积，起到良好的隔音或消音作用；通过采取雨污分流、废水污水处理等污染防控措施，可有效改善片区生态环境。</w:t>
      </w:r>
    </w:p>
    <w:bookmarkEnd w:id="58"/>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本方案在施工期和运营期主要产生噪声污染、固体废弃物、空气污染、水体污染、土壤污染。</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1、大气环境影响</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该片区工业项目以生产三元正极材料为主，生产过程会生成一定有害废气，经一定处理后由排气筒外排。</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2、水环境影响</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片区周边规划了市政管网，采用雨污分流的排水模式，工业废水经处理达到排放标准后排入污水管网，不会对周边水环境造成影响。</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3、声环境影响</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本项目主要噪声源是各类风机、水泵、破碎机、输送机、球磨机、振动给料机等。针对较高噪声设备采用消音、隔声和减振等措施，同时采取厂区及厂界绿化等辅助降噪措施，以减轻生产设备运行时噪声对厂界声环境的影响。</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4、固体废弃物处置影响</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项目产生的固废均经过合理处置，满足固体废物减量化、资源化和无害化的要求。不会对环境产生二次污染，对周围环境影响较小</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5、土壤污染的影响</w:t>
      </w:r>
    </w:p>
    <w:p>
      <w:pPr>
        <w:spacing w:line="240" w:lineRule="auto"/>
        <w:ind w:firstLine="640"/>
        <w:rPr>
          <w:rFonts w:ascii="仿宋" w:hAnsi="仿宋" w:eastAsia="仿宋" w:cs="仿宋"/>
          <w:kern w:val="44"/>
          <w:sz w:val="32"/>
          <w:szCs w:val="32"/>
        </w:rPr>
      </w:pPr>
      <w:r>
        <w:rPr>
          <w:rFonts w:hint="eastAsia" w:ascii="仿宋" w:hAnsi="仿宋" w:eastAsia="仿宋" w:cs="仿宋"/>
          <w:kern w:val="44"/>
          <w:sz w:val="32"/>
          <w:szCs w:val="32"/>
        </w:rPr>
        <w:t>项目对土壤的影响主要是大气沉降和入渗影响。通过绿化进一步减轻污染物大气沉降对土壤造成的污染，地面均进行硬化，平常加强物料设备管理，以最大程度减小入渗的影响。</w:t>
      </w:r>
    </w:p>
    <w:p>
      <w:pPr>
        <w:pStyle w:val="4"/>
        <w:spacing w:line="240" w:lineRule="auto"/>
        <w:rPr>
          <w:rFonts w:ascii="黑体" w:hAnsi="黑体" w:eastAsia="黑体" w:cs="黑体"/>
          <w:color w:val="000000" w:themeColor="text1"/>
          <w:sz w:val="32"/>
          <w:szCs w:val="32"/>
          <w14:textFill>
            <w14:solidFill>
              <w14:schemeClr w14:val="tx1"/>
            </w14:solidFill>
          </w14:textFill>
        </w:rPr>
      </w:pPr>
      <w:bookmarkStart w:id="59" w:name="_Toc67952613"/>
      <w:bookmarkStart w:id="60" w:name="_Toc113223504"/>
      <w:r>
        <w:rPr>
          <w:rFonts w:hint="eastAsia" w:ascii="黑体" w:hAnsi="黑体" w:eastAsia="黑体" w:cs="黑体"/>
          <w:color w:val="000000" w:themeColor="text1"/>
          <w:sz w:val="32"/>
          <w:szCs w:val="32"/>
          <w14:textFill>
            <w14:solidFill>
              <w14:schemeClr w14:val="tx1"/>
            </w14:solidFill>
          </w14:textFill>
        </w:rPr>
        <w:t>九、征求意见情况</w:t>
      </w:r>
      <w:bookmarkEnd w:id="59"/>
      <w:bookmarkEnd w:id="60"/>
    </w:p>
    <w:p>
      <w:pPr>
        <w:pStyle w:val="5"/>
        <w:spacing w:line="240" w:lineRule="auto"/>
        <w:ind w:firstLine="263" w:firstLineChars="82"/>
        <w:rPr>
          <w:rFonts w:ascii="楷体" w:hAnsi="楷体" w:eastAsia="楷体" w:cs="楷体"/>
          <w:color w:val="000000" w:themeColor="text1"/>
          <w:sz w:val="32"/>
          <w14:textFill>
            <w14:solidFill>
              <w14:schemeClr w14:val="tx1"/>
            </w14:solidFill>
          </w14:textFill>
        </w:rPr>
      </w:pPr>
      <w:bookmarkStart w:id="61" w:name="_Toc113223505"/>
      <w:bookmarkStart w:id="62" w:name="_Toc67952616"/>
      <w:r>
        <w:rPr>
          <w:rFonts w:hint="eastAsia" w:ascii="楷体" w:hAnsi="楷体" w:eastAsia="楷体" w:cs="楷体"/>
          <w:color w:val="000000" w:themeColor="text1"/>
          <w:sz w:val="32"/>
          <w14:textFill>
            <w14:solidFill>
              <w14:schemeClr w14:val="tx1"/>
            </w14:solidFill>
          </w14:textFill>
        </w:rPr>
        <w:t>（一）听取人大代表、政协委员、社会公众和有关专家学者意见</w:t>
      </w:r>
      <w:bookmarkEnd w:id="61"/>
    </w:p>
    <w:p>
      <w:pPr>
        <w:autoSpaceDE w:val="0"/>
        <w:autoSpaceDN w:val="0"/>
        <w:spacing w:line="540" w:lineRule="exact"/>
        <w:ind w:firstLine="640"/>
        <w:rPr>
          <w:rFonts w:eastAsia="仿宋_GB2312"/>
          <w:sz w:val="32"/>
          <w:szCs w:val="32"/>
        </w:rPr>
      </w:pPr>
      <w:r>
        <w:rPr>
          <w:rFonts w:hint="eastAsia" w:ascii="仿宋" w:hAnsi="仿宋" w:eastAsia="仿宋" w:cs="仿宋"/>
          <w:color w:val="000000" w:themeColor="text1"/>
          <w:kern w:val="44"/>
          <w:sz w:val="32"/>
          <w:szCs w:val="32"/>
          <w14:textFill>
            <w14:solidFill>
              <w14:schemeClr w14:val="tx1"/>
            </w14:solidFill>
          </w14:textFill>
        </w:rPr>
        <w:t>我县已于</w:t>
      </w:r>
      <w:r>
        <w:rPr>
          <w:rFonts w:hint="eastAsia" w:ascii="仿宋" w:hAnsi="仿宋" w:eastAsia="仿宋" w:cs="仿宋"/>
          <w:kern w:val="44"/>
          <w:sz w:val="32"/>
          <w:szCs w:val="32"/>
        </w:rPr>
        <w:t>2022</w:t>
      </w:r>
      <w:r>
        <w:rPr>
          <w:rFonts w:hint="eastAsia" w:ascii="仿宋" w:hAnsi="仿宋" w:eastAsia="仿宋" w:cs="仿宋"/>
          <w:color w:val="000000" w:themeColor="text1"/>
          <w:kern w:val="44"/>
          <w:sz w:val="32"/>
          <w:szCs w:val="32"/>
          <w14:textFill>
            <w14:solidFill>
              <w14:schemeClr w14:val="tx1"/>
            </w14:solidFill>
          </w14:textFill>
        </w:rPr>
        <w:t>年</w:t>
      </w:r>
      <w:r>
        <w:rPr>
          <w:rFonts w:hint="eastAsia" w:ascii="仿宋" w:hAnsi="仿宋" w:eastAsia="仿宋" w:cs="仿宋"/>
          <w:kern w:val="44"/>
          <w:sz w:val="32"/>
          <w:szCs w:val="32"/>
        </w:rPr>
        <w:t>8</w:t>
      </w:r>
      <w:r>
        <w:rPr>
          <w:rFonts w:hint="eastAsia" w:ascii="仿宋" w:hAnsi="仿宋" w:eastAsia="仿宋" w:cs="仿宋"/>
          <w:color w:val="000000" w:themeColor="text1"/>
          <w:kern w:val="44"/>
          <w:sz w:val="32"/>
          <w:szCs w:val="32"/>
          <w14:textFill>
            <w14:solidFill>
              <w14:schemeClr w14:val="tx1"/>
            </w14:solidFill>
          </w14:textFill>
        </w:rPr>
        <w:t>月</w:t>
      </w:r>
      <w:r>
        <w:rPr>
          <w:rFonts w:hint="eastAsia" w:ascii="仿宋" w:hAnsi="仿宋" w:eastAsia="仿宋" w:cs="仿宋"/>
          <w:kern w:val="44"/>
          <w:sz w:val="32"/>
          <w:szCs w:val="32"/>
        </w:rPr>
        <w:t>31</w:t>
      </w:r>
      <w:r>
        <w:rPr>
          <w:rFonts w:hint="eastAsia" w:ascii="仿宋" w:hAnsi="仿宋" w:eastAsia="仿宋" w:cs="仿宋"/>
          <w:color w:val="000000" w:themeColor="text1"/>
          <w:kern w:val="44"/>
          <w:sz w:val="32"/>
          <w:szCs w:val="32"/>
          <w14:textFill>
            <w14:solidFill>
              <w14:schemeClr w14:val="tx1"/>
            </w14:solidFill>
          </w14:textFill>
        </w:rPr>
        <w:t>日通过征求意见会的方式，共收集人大代表</w:t>
      </w:r>
      <w:r>
        <w:rPr>
          <w:rFonts w:hint="eastAsia" w:ascii="仿宋" w:hAnsi="仿宋" w:eastAsia="仿宋" w:cs="仿宋"/>
          <w:kern w:val="44"/>
          <w:sz w:val="32"/>
          <w:szCs w:val="32"/>
        </w:rPr>
        <w:t>2</w:t>
      </w:r>
      <w:r>
        <w:rPr>
          <w:rFonts w:hint="eastAsia" w:ascii="仿宋" w:hAnsi="仿宋" w:eastAsia="仿宋" w:cs="仿宋"/>
          <w:color w:val="000000" w:themeColor="text1"/>
          <w:kern w:val="44"/>
          <w:sz w:val="32"/>
          <w:szCs w:val="32"/>
          <w14:textFill>
            <w14:solidFill>
              <w14:schemeClr w14:val="tx1"/>
            </w14:solidFill>
          </w14:textFill>
        </w:rPr>
        <w:t>位、政协委员</w:t>
      </w:r>
      <w:r>
        <w:rPr>
          <w:rFonts w:hint="eastAsia" w:ascii="仿宋" w:hAnsi="仿宋" w:eastAsia="仿宋" w:cs="仿宋"/>
          <w:kern w:val="44"/>
          <w:sz w:val="32"/>
          <w:szCs w:val="32"/>
        </w:rPr>
        <w:t>2</w:t>
      </w:r>
      <w:r>
        <w:rPr>
          <w:rFonts w:hint="eastAsia" w:ascii="仿宋" w:hAnsi="仿宋" w:eastAsia="仿宋" w:cs="仿宋"/>
          <w:color w:val="000000" w:themeColor="text1"/>
          <w:kern w:val="44"/>
          <w:sz w:val="32"/>
          <w:szCs w:val="32"/>
          <w14:textFill>
            <w14:solidFill>
              <w14:schemeClr w14:val="tx1"/>
            </w14:solidFill>
          </w14:textFill>
        </w:rPr>
        <w:t>位、专家学者</w:t>
      </w:r>
      <w:r>
        <w:rPr>
          <w:rFonts w:hint="eastAsia" w:ascii="仿宋" w:hAnsi="仿宋" w:eastAsia="仿宋" w:cs="仿宋"/>
          <w:kern w:val="44"/>
          <w:sz w:val="32"/>
          <w:szCs w:val="32"/>
        </w:rPr>
        <w:t>2</w:t>
      </w:r>
      <w:r>
        <w:rPr>
          <w:rFonts w:hint="eastAsia" w:ascii="仿宋" w:hAnsi="仿宋" w:eastAsia="仿宋" w:cs="仿宋"/>
          <w:color w:val="000000" w:themeColor="text1"/>
          <w:kern w:val="44"/>
          <w:sz w:val="32"/>
          <w:szCs w:val="32"/>
          <w14:textFill>
            <w14:solidFill>
              <w14:schemeClr w14:val="tx1"/>
            </w14:solidFill>
          </w14:textFill>
        </w:rPr>
        <w:t>位、社会公众</w:t>
      </w:r>
      <w:r>
        <w:rPr>
          <w:rFonts w:hint="eastAsia" w:ascii="仿宋" w:hAnsi="仿宋" w:eastAsia="仿宋" w:cs="仿宋"/>
          <w:kern w:val="44"/>
          <w:sz w:val="32"/>
          <w:szCs w:val="32"/>
        </w:rPr>
        <w:t>1</w:t>
      </w:r>
      <w:r>
        <w:rPr>
          <w:rFonts w:hint="eastAsia" w:ascii="仿宋" w:hAnsi="仿宋" w:eastAsia="仿宋" w:cs="仿宋"/>
          <w:color w:val="000000" w:themeColor="text1"/>
          <w:kern w:val="44"/>
          <w:sz w:val="32"/>
          <w:szCs w:val="32"/>
          <w14:textFill>
            <w14:solidFill>
              <w14:schemeClr w14:val="tx1"/>
            </w14:solidFill>
          </w14:textFill>
        </w:rPr>
        <w:t>位和</w:t>
      </w:r>
      <w:r>
        <w:rPr>
          <w:rFonts w:hint="eastAsia" w:eastAsia="仿宋_GB2312"/>
          <w:sz w:val="32"/>
          <w:szCs w:val="32"/>
        </w:rPr>
        <w:t>仙游县自然资源局、盖尾镇人民政府、榜头镇人民政府、生态环境局、发改局、林业局、工信局、农业农村局、水利局、人社局、财政局、住建局、交通运输局、商务局等</w:t>
      </w:r>
      <w:r>
        <w:rPr>
          <w:rFonts w:ascii="仿宋" w:hAnsi="仿宋" w:eastAsia="仿宋" w:cs="仿宋"/>
          <w:kern w:val="44"/>
          <w:sz w:val="32"/>
          <w:szCs w:val="32"/>
        </w:rPr>
        <w:t>15</w:t>
      </w:r>
      <w:r>
        <w:rPr>
          <w:rFonts w:hint="eastAsia" w:eastAsia="仿宋_GB2312"/>
          <w:sz w:val="32"/>
          <w:szCs w:val="32"/>
        </w:rPr>
        <w:t>个相关部门和相关专家学者</w:t>
      </w:r>
      <w:r>
        <w:rPr>
          <w:rFonts w:hint="eastAsia" w:ascii="仿宋" w:hAnsi="仿宋" w:eastAsia="仿宋" w:cs="仿宋"/>
          <w:kern w:val="44"/>
          <w:sz w:val="32"/>
          <w:szCs w:val="32"/>
        </w:rPr>
        <w:t>2</w:t>
      </w:r>
      <w:r>
        <w:rPr>
          <w:rFonts w:hint="eastAsia" w:eastAsia="仿宋_GB2312"/>
          <w:sz w:val="32"/>
          <w:szCs w:val="32"/>
        </w:rPr>
        <w:t>人对成片开发方案的意见建议</w:t>
      </w:r>
      <w:r>
        <w:rPr>
          <w:rFonts w:hint="eastAsia" w:ascii="仿宋" w:hAnsi="仿宋" w:eastAsia="仿宋" w:cs="仿宋"/>
          <w:kern w:val="44"/>
          <w:sz w:val="32"/>
          <w:szCs w:val="32"/>
        </w:rPr>
        <w:t>21</w:t>
      </w:r>
      <w:r>
        <w:rPr>
          <w:rFonts w:hint="eastAsia" w:eastAsia="仿宋_GB2312"/>
          <w:sz w:val="32"/>
          <w:szCs w:val="32"/>
        </w:rPr>
        <w:t>份，经充分讨论，与会人员均同意本方案。</w:t>
      </w:r>
    </w:p>
    <w:p>
      <w:pPr>
        <w:pStyle w:val="5"/>
        <w:spacing w:line="240" w:lineRule="auto"/>
        <w:ind w:firstLine="263" w:firstLineChars="82"/>
        <w:rPr>
          <w:rFonts w:ascii="楷体" w:hAnsi="楷体" w:eastAsia="楷体" w:cs="楷体"/>
          <w:color w:val="000000" w:themeColor="text1"/>
          <w:sz w:val="32"/>
          <w14:textFill>
            <w14:solidFill>
              <w14:schemeClr w14:val="tx1"/>
            </w14:solidFill>
          </w14:textFill>
        </w:rPr>
      </w:pPr>
      <w:bookmarkStart w:id="63" w:name="_Toc61179750"/>
      <w:bookmarkStart w:id="64" w:name="_Toc113223506"/>
      <w:r>
        <w:rPr>
          <w:rFonts w:hint="eastAsia" w:ascii="楷体" w:hAnsi="楷体" w:eastAsia="楷体" w:cs="楷体"/>
          <w:color w:val="000000" w:themeColor="text1"/>
          <w:sz w:val="32"/>
          <w14:textFill>
            <w14:solidFill>
              <w14:schemeClr w14:val="tx1"/>
            </w14:solidFill>
          </w14:textFill>
        </w:rPr>
        <w:t>（二）征求集体经济组织和农民意见</w:t>
      </w:r>
      <w:bookmarkEnd w:id="63"/>
      <w:bookmarkEnd w:id="64"/>
    </w:p>
    <w:p>
      <w:pPr>
        <w:spacing w:line="240" w:lineRule="auto"/>
        <w:ind w:firstLine="640"/>
        <w:rPr>
          <w:rFonts w:ascii="仿宋" w:hAnsi="仿宋" w:eastAsia="仿宋" w:cs="仿宋"/>
          <w:color w:val="000000" w:themeColor="text1"/>
          <w:kern w:val="44"/>
          <w:sz w:val="32"/>
          <w:szCs w:val="32"/>
          <w14:textFill>
            <w14:solidFill>
              <w14:schemeClr w14:val="tx1"/>
            </w14:solidFill>
          </w14:textFill>
        </w:rPr>
      </w:pPr>
      <w:r>
        <w:rPr>
          <w:rFonts w:hint="eastAsia" w:ascii="仿宋" w:hAnsi="仿宋" w:eastAsia="仿宋" w:cs="仿宋"/>
          <w:color w:val="000000" w:themeColor="text1"/>
          <w:kern w:val="44"/>
          <w:sz w:val="32"/>
          <w:szCs w:val="32"/>
          <w14:textFill>
            <w14:solidFill>
              <w14:schemeClr w14:val="tx1"/>
            </w14:solidFill>
          </w14:textFill>
        </w:rPr>
        <w:t>仙游县人民政府2022年9月3日按要求下发成片开发方案征求意见的函，征求本范围涉及的仙游县的2个乡镇4个村集体经济组织的意见。2022年9月3日，方案所涉及的云庄村、琼峰村、莲井村和南宝峰村组织召开村民代表会议，云庄村应到村民代表55人，实到36人，36人同意成片开发方案，比例为65.45%；琼峰村应到村民代表31人，实到27人，27人同意成片开发方案，比例为87.1%；莲井村应到村民代表48人，实到35人，35人同意成片开发方案，比例为72.91%；南宝峰村应到村民代表67人，实到47人，47人同意成片开发方案，比例为70.14%。四村均达到三分之二以上村民代表同意成片开发方案。根据会议结论仙游县榜头镇云庄村、盖尾镇琼峰村、莲井村、南宝峰村出具同意土地利用成片开发方案的回执函。</w:t>
      </w:r>
    </w:p>
    <w:p>
      <w:pPr>
        <w:pStyle w:val="5"/>
        <w:spacing w:line="240" w:lineRule="auto"/>
        <w:ind w:firstLine="263" w:firstLineChars="82"/>
        <w:rPr>
          <w:rFonts w:ascii="楷体" w:hAnsi="楷体" w:eastAsia="楷体" w:cs="楷体"/>
          <w:color w:val="000000" w:themeColor="text1"/>
          <w:sz w:val="32"/>
          <w14:textFill>
            <w14:solidFill>
              <w14:schemeClr w14:val="tx1"/>
            </w14:solidFill>
          </w14:textFill>
        </w:rPr>
      </w:pPr>
      <w:bookmarkStart w:id="65" w:name="_Toc113223507"/>
      <w:r>
        <w:rPr>
          <w:rFonts w:hint="eastAsia" w:ascii="楷体" w:hAnsi="楷体" w:eastAsia="楷体" w:cs="楷体"/>
          <w:color w:val="000000" w:themeColor="text1"/>
          <w:sz w:val="32"/>
          <w14:textFill>
            <w14:solidFill>
              <w14:schemeClr w14:val="tx1"/>
            </w14:solidFill>
          </w14:textFill>
        </w:rPr>
        <w:t>（三）公示情况</w:t>
      </w:r>
      <w:bookmarkEnd w:id="65"/>
    </w:p>
    <w:p>
      <w:pPr>
        <w:spacing w:line="240" w:lineRule="auto"/>
        <w:ind w:firstLine="640"/>
        <w:rPr>
          <w:rFonts w:ascii="仿宋" w:hAnsi="仿宋" w:eastAsia="仿宋" w:cs="仿宋"/>
          <w:color w:val="000000" w:themeColor="text1"/>
          <w:kern w:val="44"/>
          <w:sz w:val="32"/>
          <w:szCs w:val="32"/>
          <w14:textFill>
            <w14:solidFill>
              <w14:schemeClr w14:val="tx1"/>
            </w14:solidFill>
          </w14:textFill>
        </w:rPr>
      </w:pPr>
      <w:r>
        <w:rPr>
          <w:rFonts w:hint="eastAsia" w:ascii="仿宋" w:hAnsi="仿宋" w:eastAsia="仿宋" w:cs="仿宋"/>
          <w:color w:val="000000" w:themeColor="text1"/>
          <w:kern w:val="44"/>
          <w:sz w:val="32"/>
          <w:szCs w:val="32"/>
          <w14:textFill>
            <w14:solidFill>
              <w14:schemeClr w14:val="tx1"/>
            </w14:solidFill>
          </w14:textFill>
        </w:rPr>
        <w:t>根据各界意见以及成片开发范围内村集体经济组织和村民意见，修改方案后，2022年9月6日至2022年9月15日方案在仙游县政府网站进行公示，并于2022年9月6日至2022年9月15日</w:t>
      </w:r>
      <w:r>
        <w:rPr>
          <w:rFonts w:hint="eastAsia" w:ascii="仿宋" w:hAnsi="仿宋" w:eastAsia="仿宋" w:cs="仿宋"/>
          <w:color w:val="000000" w:themeColor="text1"/>
          <w:sz w:val="32"/>
          <w:szCs w:val="32"/>
          <w14:textFill>
            <w14:solidFill>
              <w14:schemeClr w14:val="tx1"/>
            </w14:solidFill>
          </w14:textFill>
        </w:rPr>
        <w:t>将相关内容张贴于</w:t>
      </w:r>
      <w:r>
        <w:rPr>
          <w:rFonts w:hint="eastAsia" w:ascii="仿宋" w:hAnsi="仿宋" w:eastAsia="仿宋" w:cs="仿宋"/>
          <w:color w:val="000000" w:themeColor="text1"/>
          <w:kern w:val="44"/>
          <w:sz w:val="32"/>
          <w:szCs w:val="32"/>
          <w14:textFill>
            <w14:solidFill>
              <w14:schemeClr w14:val="tx1"/>
            </w14:solidFill>
          </w14:textFill>
        </w:rPr>
        <w:t>云庄村、琼峰村、莲井村、南宝峰村</w:t>
      </w:r>
      <w:r>
        <w:rPr>
          <w:rFonts w:hint="eastAsia" w:ascii="仿宋" w:hAnsi="仿宋" w:eastAsia="仿宋" w:cs="仿宋"/>
          <w:color w:val="000000" w:themeColor="text1"/>
          <w:sz w:val="32"/>
          <w:szCs w:val="32"/>
          <w14:textFill>
            <w14:solidFill>
              <w14:schemeClr w14:val="tx1"/>
            </w14:solidFill>
          </w14:textFill>
        </w:rPr>
        <w:t>公告栏进行公示</w:t>
      </w:r>
      <w:r>
        <w:rPr>
          <w:rFonts w:hint="eastAsia" w:ascii="仿宋" w:hAnsi="仿宋" w:eastAsia="仿宋" w:cs="仿宋"/>
          <w:color w:val="000000" w:themeColor="text1"/>
          <w:kern w:val="44"/>
          <w:sz w:val="32"/>
          <w:szCs w:val="32"/>
          <w14:textFill>
            <w14:solidFill>
              <w14:schemeClr w14:val="tx1"/>
            </w14:solidFill>
          </w14:textFill>
        </w:rPr>
        <w:t>。公示时间超过5个工作日。公示期间，未收到任何意见、建议和反馈。</w:t>
      </w:r>
    </w:p>
    <w:p>
      <w:pPr>
        <w:pStyle w:val="4"/>
        <w:spacing w:line="240" w:lineRule="auto"/>
        <w:rPr>
          <w:rFonts w:ascii="黑体" w:hAnsi="黑体" w:eastAsia="黑体" w:cs="黑体"/>
          <w:sz w:val="32"/>
          <w:szCs w:val="32"/>
        </w:rPr>
      </w:pPr>
      <w:bookmarkStart w:id="66" w:name="_Toc113223508"/>
      <w:r>
        <w:rPr>
          <w:rFonts w:hint="eastAsia" w:ascii="黑体" w:hAnsi="黑体" w:eastAsia="黑体" w:cs="黑体"/>
          <w:sz w:val="32"/>
          <w:szCs w:val="32"/>
        </w:rPr>
        <w:t>十、结论</w:t>
      </w:r>
      <w:bookmarkEnd w:id="62"/>
      <w:bookmarkEnd w:id="66"/>
    </w:p>
    <w:p>
      <w:pPr>
        <w:spacing w:line="240" w:lineRule="auto"/>
        <w:ind w:firstLine="640"/>
        <w:rPr>
          <w:rFonts w:ascii="仿宋" w:hAnsi="仿宋" w:eastAsia="仿宋" w:cs="仿宋"/>
          <w:sz w:val="32"/>
          <w:szCs w:val="32"/>
        </w:rPr>
      </w:pPr>
      <w:r>
        <w:rPr>
          <w:rFonts w:hint="eastAsia" w:ascii="仿宋" w:hAnsi="仿宋" w:eastAsia="仿宋" w:cs="仿宋"/>
          <w:sz w:val="32"/>
          <w:szCs w:val="32"/>
        </w:rPr>
        <w:t>本土地征收成片开发方案符合仙游县国民经济和社会发展规划、在土地利用总体规划确定的城镇建设</w:t>
      </w:r>
      <w:r>
        <w:rPr>
          <w:rFonts w:ascii="仿宋" w:hAnsi="仿宋" w:eastAsia="仿宋" w:cs="仿宋"/>
          <w:sz w:val="32"/>
          <w:szCs w:val="32"/>
        </w:rPr>
        <w:t>用地范围</w:t>
      </w:r>
      <w:r>
        <w:rPr>
          <w:rFonts w:hint="eastAsia" w:ascii="仿宋" w:hAnsi="仿宋" w:eastAsia="仿宋" w:cs="仿宋"/>
          <w:sz w:val="32"/>
          <w:szCs w:val="32"/>
        </w:rPr>
        <w:t>内、专项规划，已纳入仙游县国民经济和社会发展年度计划，符合自然资源部和福建省自然资源厅规定的标准和要求，做到了保护耕地、维护农民合法权益、节约集约用地、保护生态环境，能够促进经济社会可持续发展。</w:t>
      </w:r>
    </w:p>
    <w:p>
      <w:pPr>
        <w:pStyle w:val="4"/>
        <w:sectPr>
          <w:headerReference r:id="rId11" w:type="default"/>
          <w:footerReference r:id="rId12" w:type="default"/>
          <w:pgSz w:w="11906" w:h="16838"/>
          <w:pgMar w:top="1440" w:right="1800" w:bottom="1440" w:left="1800" w:header="851" w:footer="992" w:gutter="0"/>
          <w:pgNumType w:start="1"/>
          <w:cols w:space="425" w:num="1"/>
          <w:docGrid w:type="lines" w:linePitch="312" w:charSpace="0"/>
        </w:sectPr>
      </w:pPr>
      <w:bookmarkStart w:id="67" w:name="_Toc67952617"/>
    </w:p>
    <w:p>
      <w:pPr>
        <w:pStyle w:val="4"/>
        <w:spacing w:line="240" w:lineRule="auto"/>
        <w:rPr>
          <w:rFonts w:ascii="黑体" w:hAnsi="黑体" w:eastAsia="黑体" w:cs="黑体"/>
          <w:sz w:val="32"/>
          <w:szCs w:val="32"/>
        </w:rPr>
      </w:pPr>
      <w:bookmarkStart w:id="68" w:name="_Toc113223509"/>
      <w:r>
        <w:rPr>
          <w:rFonts w:hint="eastAsia" w:ascii="黑体" w:hAnsi="黑体" w:eastAsia="黑体" w:cs="黑体"/>
          <w:sz w:val="32"/>
          <w:szCs w:val="32"/>
        </w:rPr>
        <w:t>十一、附图</w:t>
      </w:r>
      <w:bookmarkEnd w:id="67"/>
      <w:bookmarkEnd w:id="68"/>
    </w:p>
    <w:p>
      <w:pPr>
        <w:pStyle w:val="2"/>
        <w:ind w:left="0" w:leftChars="0" w:firstLine="0" w:firstLineChars="0"/>
      </w:pPr>
      <w:r>
        <w:drawing>
          <wp:anchor distT="0" distB="0" distL="114300" distR="114300" simplePos="0" relativeHeight="251659264" behindDoc="0" locked="0" layoutInCell="1" allowOverlap="1">
            <wp:simplePos x="0" y="0"/>
            <wp:positionH relativeFrom="column">
              <wp:posOffset>844550</wp:posOffset>
            </wp:positionH>
            <wp:positionV relativeFrom="paragraph">
              <wp:posOffset>219710</wp:posOffset>
            </wp:positionV>
            <wp:extent cx="6637655" cy="469392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865" cy="4693850"/>
                    </a:xfrm>
                    <a:prstGeom prst="rect">
                      <a:avLst/>
                    </a:prstGeom>
                    <a:noFill/>
                    <a:ln>
                      <a:noFill/>
                    </a:ln>
                  </pic:spPr>
                </pic:pic>
              </a:graphicData>
            </a:graphic>
          </wp:anchor>
        </w:drawing>
      </w:r>
    </w:p>
    <w:p>
      <w:pPr>
        <w:pStyle w:val="2"/>
        <w:ind w:left="0" w:leftChars="0" w:firstLine="0" w:firstLineChars="0"/>
        <w:sectPr>
          <w:pgSz w:w="16838" w:h="11906" w:orient="landscape"/>
          <w:pgMar w:top="1800" w:right="1440" w:bottom="1800" w:left="1440" w:header="851" w:footer="992" w:gutter="0"/>
          <w:pgNumType w:start="1"/>
          <w:cols w:space="425" w:num="1"/>
          <w:docGrid w:linePitch="312" w:charSpace="0"/>
        </w:sectPr>
      </w:pPr>
    </w:p>
    <w:p>
      <w:pPr>
        <w:pStyle w:val="4"/>
        <w:rPr>
          <w:rFonts w:ascii="黑体" w:hAnsi="黑体" w:eastAsia="黑体" w:cs="黑体"/>
          <w:sz w:val="32"/>
          <w:szCs w:val="32"/>
        </w:rPr>
      </w:pPr>
      <w:bookmarkStart w:id="69" w:name="_Toc67952618"/>
      <w:bookmarkStart w:id="70" w:name="_Toc113223510"/>
      <w:r>
        <w:rPr>
          <w:rFonts w:hint="eastAsia" w:ascii="黑体" w:hAnsi="黑体" w:eastAsia="黑体" w:cs="黑体"/>
          <w:sz w:val="32"/>
          <w:szCs w:val="32"/>
        </w:rPr>
        <w:t>十二、附表</w:t>
      </w:r>
      <w:bookmarkEnd w:id="69"/>
      <w:bookmarkEnd w:id="70"/>
    </w:p>
    <w:p>
      <w:pPr>
        <w:pStyle w:val="2"/>
        <w:ind w:left="0" w:leftChars="0" w:firstLine="0" w:firstLineChars="0"/>
      </w:pPr>
      <w:r>
        <w:drawing>
          <wp:inline distT="0" distB="0" distL="0" distR="0">
            <wp:extent cx="4351655" cy="8891270"/>
            <wp:effectExtent l="0" t="2857" r="7937" b="7938"/>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rcRect l="10772" r="13513"/>
                    <a:stretch>
                      <a:fillRect/>
                    </a:stretch>
                  </pic:blipFill>
                  <pic:spPr>
                    <a:xfrm rot="16200000">
                      <a:off x="0" y="0"/>
                      <a:ext cx="4386576" cy="8962020"/>
                    </a:xfrm>
                    <a:prstGeom prst="rect">
                      <a:avLst/>
                    </a:prstGeom>
                    <a:ln>
                      <a:noFill/>
                    </a:ln>
                  </pic:spPr>
                </pic:pic>
              </a:graphicData>
            </a:graphic>
          </wp:inline>
        </w:drawing>
      </w:r>
    </w:p>
    <w:p>
      <w:pPr>
        <w:pStyle w:val="2"/>
        <w:ind w:left="0" w:leftChars="0" w:firstLine="0" w:firstLineChars="0"/>
      </w:pPr>
    </w:p>
    <w:p>
      <w:pPr>
        <w:pStyle w:val="2"/>
        <w:ind w:left="0" w:leftChars="0" w:firstLine="0" w:firstLineChars="0"/>
      </w:pPr>
    </w:p>
    <w:p>
      <w:pPr>
        <w:pStyle w:val="5"/>
        <w:ind w:firstLine="0" w:firstLineChars="0"/>
        <w:jc w:val="center"/>
        <w:rPr>
          <w:rFonts w:ascii="仿宋" w:hAnsi="仿宋" w:eastAsia="仿宋" w:cs="仿宋"/>
        </w:rPr>
      </w:pPr>
      <w:bookmarkStart w:id="71" w:name="_Toc67952620"/>
      <w:bookmarkStart w:id="72" w:name="_Toc113223512"/>
      <w:r>
        <w:rPr>
          <w:rFonts w:hint="eastAsia" w:ascii="仿宋" w:hAnsi="仿宋" w:eastAsia="仿宋" w:cs="仿宋"/>
        </w:rPr>
        <w:t>附表2  地块用途、面积及实现功能统计表</w:t>
      </w:r>
      <w:bookmarkEnd w:id="71"/>
      <w:bookmarkEnd w:id="72"/>
    </w:p>
    <w:p>
      <w:pPr>
        <w:ind w:firstLine="12000" w:firstLineChars="5000"/>
        <w:rPr>
          <w:rFonts w:ascii="仿宋" w:hAnsi="仿宋" w:eastAsia="仿宋" w:cs="仿宋"/>
        </w:rPr>
      </w:pPr>
      <w:r>
        <w:rPr>
          <w:rFonts w:hint="eastAsia" w:ascii="仿宋" w:hAnsi="仿宋" w:eastAsia="仿宋" w:cs="仿宋"/>
        </w:rPr>
        <w:t>单位：公顷（%）</w:t>
      </w:r>
    </w:p>
    <w:tbl>
      <w:tblPr>
        <w:tblStyle w:val="14"/>
        <w:tblW w:w="0" w:type="auto"/>
        <w:jc w:val="center"/>
        <w:tblLayout w:type="fixed"/>
        <w:tblCellMar>
          <w:top w:w="0" w:type="dxa"/>
          <w:left w:w="108" w:type="dxa"/>
          <w:bottom w:w="0" w:type="dxa"/>
          <w:right w:w="108" w:type="dxa"/>
        </w:tblCellMar>
      </w:tblPr>
      <w:tblGrid>
        <w:gridCol w:w="792"/>
        <w:gridCol w:w="1471"/>
        <w:gridCol w:w="1553"/>
        <w:gridCol w:w="1459"/>
        <w:gridCol w:w="1059"/>
        <w:gridCol w:w="6247"/>
        <w:gridCol w:w="1306"/>
      </w:tblGrid>
      <w:tr>
        <w:tblPrEx>
          <w:tblCellMar>
            <w:top w:w="0" w:type="dxa"/>
            <w:left w:w="108" w:type="dxa"/>
            <w:bottom w:w="0" w:type="dxa"/>
            <w:right w:w="108" w:type="dxa"/>
          </w:tblCellMar>
        </w:tblPrEx>
        <w:trPr>
          <w:trHeight w:val="288" w:hRule="atLeast"/>
          <w:jc w:val="center"/>
        </w:trPr>
        <w:tc>
          <w:tcPr>
            <w:tcW w:w="79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序号</w:t>
            </w:r>
          </w:p>
        </w:tc>
        <w:tc>
          <w:tcPr>
            <w:tcW w:w="302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480"/>
              <w:jc w:val="center"/>
              <w:rPr>
                <w:rFonts w:ascii="仿宋" w:hAnsi="仿宋" w:eastAsia="仿宋" w:cs="仿宋"/>
                <w:kern w:val="0"/>
                <w:szCs w:val="24"/>
              </w:rPr>
            </w:pPr>
            <w:r>
              <w:rPr>
                <w:rFonts w:hint="eastAsia" w:ascii="仿宋" w:hAnsi="仿宋" w:eastAsia="仿宋" w:cs="仿宋"/>
                <w:kern w:val="0"/>
                <w:szCs w:val="24"/>
              </w:rPr>
              <w:t>土地用途</w:t>
            </w:r>
          </w:p>
        </w:tc>
        <w:tc>
          <w:tcPr>
            <w:tcW w:w="145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拟用地面积</w:t>
            </w:r>
          </w:p>
        </w:tc>
        <w:tc>
          <w:tcPr>
            <w:tcW w:w="105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占比</w:t>
            </w:r>
          </w:p>
        </w:tc>
        <w:tc>
          <w:tcPr>
            <w:tcW w:w="62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266" w:firstLineChars="111"/>
              <w:jc w:val="center"/>
              <w:rPr>
                <w:rFonts w:ascii="仿宋" w:hAnsi="仿宋" w:eastAsia="仿宋" w:cs="仿宋"/>
                <w:kern w:val="0"/>
                <w:szCs w:val="24"/>
              </w:rPr>
            </w:pPr>
            <w:r>
              <w:rPr>
                <w:rFonts w:hint="eastAsia" w:ascii="仿宋" w:hAnsi="仿宋" w:eastAsia="仿宋" w:cs="仿宋"/>
                <w:kern w:val="0"/>
                <w:szCs w:val="24"/>
              </w:rPr>
              <w:t>实现功能</w:t>
            </w:r>
          </w:p>
        </w:tc>
        <w:tc>
          <w:tcPr>
            <w:tcW w:w="130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是否公益性用地</w:t>
            </w:r>
          </w:p>
        </w:tc>
      </w:tr>
      <w:tr>
        <w:tblPrEx>
          <w:tblCellMar>
            <w:top w:w="0" w:type="dxa"/>
            <w:left w:w="108" w:type="dxa"/>
            <w:bottom w:w="0" w:type="dxa"/>
            <w:right w:w="108" w:type="dxa"/>
          </w:tblCellMar>
        </w:tblPrEx>
        <w:trPr>
          <w:trHeight w:val="582" w:hRule="atLeast"/>
          <w:jc w:val="center"/>
        </w:trPr>
        <w:tc>
          <w:tcPr>
            <w:tcW w:w="7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0"/>
              <w:jc w:val="center"/>
              <w:rPr>
                <w:rFonts w:ascii="仿宋" w:hAnsi="仿宋" w:eastAsia="仿宋" w:cs="仿宋"/>
                <w:kern w:val="0"/>
                <w:szCs w:val="24"/>
              </w:rPr>
            </w:pPr>
          </w:p>
        </w:tc>
        <w:tc>
          <w:tcPr>
            <w:tcW w:w="147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一级类</w:t>
            </w:r>
          </w:p>
        </w:tc>
        <w:tc>
          <w:tcPr>
            <w:tcW w:w="155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二级类</w:t>
            </w:r>
          </w:p>
        </w:tc>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0"/>
              <w:jc w:val="center"/>
              <w:rPr>
                <w:rFonts w:ascii="仿宋" w:hAnsi="仿宋" w:eastAsia="仿宋" w:cs="仿宋"/>
                <w:kern w:val="0"/>
                <w:szCs w:val="24"/>
              </w:rPr>
            </w:pPr>
          </w:p>
        </w:tc>
        <w:tc>
          <w:tcPr>
            <w:tcW w:w="105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0"/>
              <w:jc w:val="center"/>
              <w:rPr>
                <w:rFonts w:ascii="仿宋" w:hAnsi="仿宋" w:eastAsia="仿宋" w:cs="仿宋"/>
                <w:kern w:val="0"/>
                <w:szCs w:val="24"/>
              </w:rPr>
            </w:pPr>
          </w:p>
        </w:tc>
        <w:tc>
          <w:tcPr>
            <w:tcW w:w="62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0"/>
              <w:jc w:val="center"/>
              <w:rPr>
                <w:rFonts w:ascii="仿宋" w:hAnsi="仿宋" w:eastAsia="仿宋" w:cs="仿宋"/>
                <w:kern w:val="0"/>
                <w:szCs w:val="24"/>
              </w:rPr>
            </w:pPr>
          </w:p>
        </w:tc>
        <w:tc>
          <w:tcPr>
            <w:tcW w:w="130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0"/>
              <w:jc w:val="center"/>
              <w:rPr>
                <w:rFonts w:ascii="仿宋" w:hAnsi="仿宋" w:eastAsia="仿宋" w:cs="仿宋"/>
                <w:kern w:val="0"/>
                <w:szCs w:val="24"/>
              </w:rPr>
            </w:pPr>
          </w:p>
        </w:tc>
      </w:tr>
      <w:tr>
        <w:tblPrEx>
          <w:tblCellMar>
            <w:top w:w="0" w:type="dxa"/>
            <w:left w:w="108" w:type="dxa"/>
            <w:bottom w:w="0" w:type="dxa"/>
            <w:right w:w="108" w:type="dxa"/>
          </w:tblCellMar>
        </w:tblPrEx>
        <w:trPr>
          <w:trHeight w:val="288" w:hRule="atLeast"/>
          <w:jc w:val="center"/>
        </w:trPr>
        <w:tc>
          <w:tcPr>
            <w:tcW w:w="792"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1</w:t>
            </w:r>
          </w:p>
        </w:tc>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绿地与开敞空间用地</w:t>
            </w:r>
          </w:p>
        </w:tc>
        <w:tc>
          <w:tcPr>
            <w:tcW w:w="155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防护绿地</w:t>
            </w:r>
          </w:p>
        </w:tc>
        <w:tc>
          <w:tcPr>
            <w:tcW w:w="14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1.2251</w:t>
            </w:r>
          </w:p>
        </w:tc>
        <w:tc>
          <w:tcPr>
            <w:tcW w:w="10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ascii="仿宋" w:hAnsi="仿宋" w:eastAsia="仿宋" w:cs="仿宋"/>
                <w:kern w:val="0"/>
                <w:szCs w:val="24"/>
              </w:rPr>
              <w:t>1.</w:t>
            </w:r>
            <w:r>
              <w:rPr>
                <w:rFonts w:hint="eastAsia" w:ascii="仿宋" w:hAnsi="仿宋" w:eastAsia="仿宋" w:cs="仿宋"/>
                <w:kern w:val="0"/>
                <w:szCs w:val="24"/>
              </w:rPr>
              <w:t>91</w:t>
            </w:r>
          </w:p>
        </w:tc>
        <w:tc>
          <w:tcPr>
            <w:tcW w:w="624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480"/>
              <w:jc w:val="center"/>
              <w:rPr>
                <w:rFonts w:ascii="仿宋" w:hAnsi="仿宋" w:eastAsia="仿宋" w:cs="仿宋"/>
                <w:kern w:val="0"/>
                <w:szCs w:val="24"/>
              </w:rPr>
            </w:pPr>
            <w:r>
              <w:rPr>
                <w:rFonts w:hint="eastAsia" w:ascii="仿宋" w:hAnsi="仿宋" w:eastAsia="仿宋" w:cs="仿宋"/>
                <w:kern w:val="0"/>
                <w:szCs w:val="24"/>
              </w:rPr>
              <w:t>卫生、隔离、安全、生态防护功能</w:t>
            </w:r>
          </w:p>
        </w:tc>
        <w:tc>
          <w:tcPr>
            <w:tcW w:w="13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1</w:t>
            </w:r>
          </w:p>
        </w:tc>
      </w:tr>
      <w:tr>
        <w:tblPrEx>
          <w:tblCellMar>
            <w:top w:w="0" w:type="dxa"/>
            <w:left w:w="108" w:type="dxa"/>
            <w:bottom w:w="0" w:type="dxa"/>
            <w:right w:w="108" w:type="dxa"/>
          </w:tblCellMar>
        </w:tblPrEx>
        <w:trPr>
          <w:trHeight w:val="288" w:hRule="atLeast"/>
          <w:jc w:val="center"/>
        </w:trPr>
        <w:tc>
          <w:tcPr>
            <w:tcW w:w="792"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ascii="仿宋" w:hAnsi="仿宋" w:eastAsia="仿宋" w:cs="仿宋"/>
                <w:kern w:val="0"/>
                <w:szCs w:val="24"/>
              </w:rPr>
              <w:t>2</w:t>
            </w:r>
          </w:p>
        </w:tc>
        <w:tc>
          <w:tcPr>
            <w:tcW w:w="1471"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交通运输用地</w:t>
            </w:r>
          </w:p>
        </w:tc>
        <w:tc>
          <w:tcPr>
            <w:tcW w:w="155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城镇道路用地</w:t>
            </w:r>
          </w:p>
        </w:tc>
        <w:tc>
          <w:tcPr>
            <w:tcW w:w="14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7.8515</w:t>
            </w:r>
          </w:p>
        </w:tc>
        <w:tc>
          <w:tcPr>
            <w:tcW w:w="10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ascii="仿宋" w:hAnsi="仿宋" w:eastAsia="仿宋" w:cs="仿宋"/>
                <w:kern w:val="0"/>
                <w:szCs w:val="24"/>
              </w:rPr>
              <w:t>12.</w:t>
            </w:r>
            <w:r>
              <w:rPr>
                <w:rFonts w:hint="eastAsia" w:ascii="仿宋" w:hAnsi="仿宋" w:eastAsia="仿宋" w:cs="仿宋"/>
                <w:kern w:val="0"/>
                <w:szCs w:val="24"/>
              </w:rPr>
              <w:t>21</w:t>
            </w:r>
          </w:p>
        </w:tc>
        <w:tc>
          <w:tcPr>
            <w:tcW w:w="624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480"/>
              <w:jc w:val="center"/>
              <w:rPr>
                <w:rFonts w:ascii="仿宋" w:hAnsi="仿宋" w:eastAsia="仿宋" w:cs="仿宋"/>
                <w:kern w:val="0"/>
                <w:szCs w:val="24"/>
              </w:rPr>
            </w:pPr>
            <w:r>
              <w:rPr>
                <w:rFonts w:hint="eastAsia" w:ascii="仿宋" w:hAnsi="仿宋" w:eastAsia="仿宋" w:cs="仿宋"/>
                <w:kern w:val="44"/>
                <w:szCs w:val="24"/>
              </w:rPr>
              <w:t>促进片区的内外交通优化，方便片区内的工人上下班通勤，完善了仙游县的城镇化建设基础骨架</w:t>
            </w:r>
          </w:p>
        </w:tc>
        <w:tc>
          <w:tcPr>
            <w:tcW w:w="13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1</w:t>
            </w:r>
          </w:p>
        </w:tc>
      </w:tr>
      <w:tr>
        <w:tblPrEx>
          <w:tblCellMar>
            <w:top w:w="0" w:type="dxa"/>
            <w:left w:w="108" w:type="dxa"/>
            <w:bottom w:w="0" w:type="dxa"/>
            <w:right w:w="108" w:type="dxa"/>
          </w:tblCellMar>
        </w:tblPrEx>
        <w:trPr>
          <w:trHeight w:val="288"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3</w:t>
            </w:r>
          </w:p>
        </w:tc>
        <w:tc>
          <w:tcPr>
            <w:tcW w:w="1471"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水域和其他用地</w:t>
            </w:r>
          </w:p>
        </w:tc>
        <w:tc>
          <w:tcPr>
            <w:tcW w:w="155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水域</w:t>
            </w:r>
          </w:p>
        </w:tc>
        <w:tc>
          <w:tcPr>
            <w:tcW w:w="14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ascii="仿宋" w:hAnsi="仿宋" w:eastAsia="仿宋" w:cs="仿宋"/>
                <w:kern w:val="0"/>
                <w:szCs w:val="24"/>
              </w:rPr>
              <w:t>0.</w:t>
            </w:r>
            <w:r>
              <w:rPr>
                <w:rFonts w:hint="eastAsia" w:ascii="仿宋" w:hAnsi="仿宋" w:eastAsia="仿宋" w:cs="仿宋"/>
                <w:kern w:val="0"/>
                <w:szCs w:val="24"/>
              </w:rPr>
              <w:t>6841</w:t>
            </w:r>
          </w:p>
        </w:tc>
        <w:tc>
          <w:tcPr>
            <w:tcW w:w="10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1.06</w:t>
            </w:r>
          </w:p>
        </w:tc>
        <w:tc>
          <w:tcPr>
            <w:tcW w:w="624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480"/>
              <w:jc w:val="center"/>
              <w:rPr>
                <w:rFonts w:ascii="仿宋" w:hAnsi="仿宋" w:eastAsia="仿宋" w:cs="仿宋"/>
                <w:kern w:val="44"/>
                <w:szCs w:val="24"/>
              </w:rPr>
            </w:pPr>
            <w:r>
              <w:rPr>
                <w:rFonts w:hint="eastAsia" w:ascii="仿宋" w:hAnsi="仿宋" w:eastAsia="仿宋" w:cs="仿宋"/>
                <w:kern w:val="44"/>
                <w:szCs w:val="24"/>
              </w:rPr>
              <w:t>强化城市景观，维护生态功能</w:t>
            </w:r>
          </w:p>
        </w:tc>
        <w:tc>
          <w:tcPr>
            <w:tcW w:w="13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1</w:t>
            </w:r>
          </w:p>
        </w:tc>
      </w:tr>
      <w:tr>
        <w:tblPrEx>
          <w:tblCellMar>
            <w:top w:w="0" w:type="dxa"/>
            <w:left w:w="108" w:type="dxa"/>
            <w:bottom w:w="0" w:type="dxa"/>
            <w:right w:w="108" w:type="dxa"/>
          </w:tblCellMar>
        </w:tblPrEx>
        <w:trPr>
          <w:trHeight w:val="288" w:hRule="atLeast"/>
          <w:jc w:val="center"/>
        </w:trPr>
        <w:tc>
          <w:tcPr>
            <w:tcW w:w="792"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4</w:t>
            </w:r>
          </w:p>
        </w:tc>
        <w:tc>
          <w:tcPr>
            <w:tcW w:w="147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公共管理与公共服务设施用地</w:t>
            </w:r>
          </w:p>
        </w:tc>
        <w:tc>
          <w:tcPr>
            <w:tcW w:w="155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医疗卫生用地</w:t>
            </w:r>
          </w:p>
        </w:tc>
        <w:tc>
          <w:tcPr>
            <w:tcW w:w="14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1</w:t>
            </w:r>
            <w:r>
              <w:rPr>
                <w:rFonts w:ascii="仿宋" w:hAnsi="仿宋" w:eastAsia="仿宋" w:cs="仿宋"/>
                <w:kern w:val="0"/>
                <w:szCs w:val="24"/>
              </w:rPr>
              <w:t>7.239</w:t>
            </w:r>
            <w:r>
              <w:rPr>
                <w:rFonts w:hint="eastAsia" w:ascii="仿宋" w:hAnsi="仿宋" w:eastAsia="仿宋" w:cs="仿宋"/>
                <w:kern w:val="0"/>
                <w:szCs w:val="24"/>
              </w:rPr>
              <w:t>3</w:t>
            </w:r>
          </w:p>
        </w:tc>
        <w:tc>
          <w:tcPr>
            <w:tcW w:w="10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2</w:t>
            </w:r>
            <w:r>
              <w:rPr>
                <w:rFonts w:ascii="仿宋" w:hAnsi="仿宋" w:eastAsia="仿宋" w:cs="仿宋"/>
                <w:kern w:val="0"/>
                <w:szCs w:val="24"/>
              </w:rPr>
              <w:t>6.</w:t>
            </w:r>
            <w:r>
              <w:rPr>
                <w:rFonts w:hint="eastAsia" w:ascii="仿宋" w:hAnsi="仿宋" w:eastAsia="仿宋" w:cs="仿宋"/>
                <w:kern w:val="0"/>
                <w:szCs w:val="24"/>
              </w:rPr>
              <w:t>8</w:t>
            </w:r>
            <w:r>
              <w:rPr>
                <w:rFonts w:ascii="仿宋" w:hAnsi="仿宋" w:eastAsia="仿宋" w:cs="仿宋"/>
                <w:kern w:val="0"/>
                <w:szCs w:val="24"/>
              </w:rPr>
              <w:t>1</w:t>
            </w:r>
          </w:p>
        </w:tc>
        <w:tc>
          <w:tcPr>
            <w:tcW w:w="624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480"/>
              <w:jc w:val="center"/>
              <w:rPr>
                <w:rFonts w:ascii="仿宋" w:hAnsi="仿宋" w:eastAsia="仿宋" w:cs="仿宋"/>
                <w:kern w:val="0"/>
                <w:szCs w:val="24"/>
              </w:rPr>
            </w:pPr>
            <w:r>
              <w:rPr>
                <w:rFonts w:hint="eastAsia" w:ascii="仿宋" w:hAnsi="仿宋" w:eastAsia="仿宋" w:cs="仿宋"/>
                <w:kern w:val="0"/>
                <w:szCs w:val="24"/>
              </w:rPr>
              <w:t>为周边居民提供医疗场所，完善基础设施</w:t>
            </w:r>
          </w:p>
        </w:tc>
        <w:tc>
          <w:tcPr>
            <w:tcW w:w="13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1</w:t>
            </w:r>
          </w:p>
        </w:tc>
      </w:tr>
      <w:tr>
        <w:tblPrEx>
          <w:tblCellMar>
            <w:top w:w="0" w:type="dxa"/>
            <w:left w:w="108" w:type="dxa"/>
            <w:bottom w:w="0" w:type="dxa"/>
            <w:right w:w="108" w:type="dxa"/>
          </w:tblCellMar>
        </w:tblPrEx>
        <w:trPr>
          <w:trHeight w:val="288" w:hRule="atLeast"/>
          <w:jc w:val="center"/>
        </w:trPr>
        <w:tc>
          <w:tcPr>
            <w:tcW w:w="792"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ascii="仿宋" w:hAnsi="仿宋" w:eastAsia="仿宋" w:cs="仿宋"/>
                <w:kern w:val="0"/>
                <w:szCs w:val="24"/>
              </w:rPr>
              <w:t>5</w:t>
            </w:r>
          </w:p>
        </w:tc>
        <w:tc>
          <w:tcPr>
            <w:tcW w:w="147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工矿用地</w:t>
            </w:r>
          </w:p>
        </w:tc>
        <w:tc>
          <w:tcPr>
            <w:tcW w:w="155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工业</w:t>
            </w:r>
          </w:p>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用地</w:t>
            </w:r>
          </w:p>
        </w:tc>
        <w:tc>
          <w:tcPr>
            <w:tcW w:w="14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ascii="仿宋" w:hAnsi="仿宋" w:eastAsia="仿宋" w:cs="仿宋"/>
                <w:kern w:val="0"/>
                <w:szCs w:val="24"/>
              </w:rPr>
              <w:t>3</w:t>
            </w:r>
            <w:r>
              <w:rPr>
                <w:rFonts w:hint="eastAsia" w:ascii="仿宋" w:hAnsi="仿宋" w:eastAsia="仿宋" w:cs="仿宋"/>
                <w:kern w:val="0"/>
                <w:szCs w:val="24"/>
              </w:rPr>
              <w:t>7.3039</w:t>
            </w:r>
          </w:p>
        </w:tc>
        <w:tc>
          <w:tcPr>
            <w:tcW w:w="10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58.01</w:t>
            </w:r>
          </w:p>
        </w:tc>
        <w:tc>
          <w:tcPr>
            <w:tcW w:w="624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480"/>
              <w:jc w:val="center"/>
              <w:rPr>
                <w:rFonts w:ascii="仿宋" w:hAnsi="仿宋" w:eastAsia="仿宋" w:cs="仿宋"/>
                <w:kern w:val="0"/>
                <w:szCs w:val="24"/>
              </w:rPr>
            </w:pPr>
            <w:r>
              <w:rPr>
                <w:rFonts w:hint="eastAsia" w:ascii="仿宋" w:hAnsi="仿宋" w:eastAsia="仿宋" w:cs="仿宋"/>
                <w:kern w:val="0"/>
                <w:szCs w:val="24"/>
              </w:rPr>
              <w:t>工业生产，促进区域经济发展</w:t>
            </w:r>
          </w:p>
        </w:tc>
        <w:tc>
          <w:tcPr>
            <w:tcW w:w="13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2</w:t>
            </w:r>
          </w:p>
        </w:tc>
      </w:tr>
      <w:tr>
        <w:tblPrEx>
          <w:tblCellMar>
            <w:top w:w="0" w:type="dxa"/>
            <w:left w:w="108" w:type="dxa"/>
            <w:bottom w:w="0" w:type="dxa"/>
            <w:right w:w="108" w:type="dxa"/>
          </w:tblCellMar>
        </w:tblPrEx>
        <w:trPr>
          <w:trHeight w:val="70" w:hRule="atLeast"/>
          <w:jc w:val="center"/>
        </w:trPr>
        <w:tc>
          <w:tcPr>
            <w:tcW w:w="792"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合计</w:t>
            </w:r>
          </w:p>
        </w:tc>
        <w:tc>
          <w:tcPr>
            <w:tcW w:w="1471"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480"/>
              <w:jc w:val="center"/>
              <w:rPr>
                <w:rFonts w:ascii="仿宋" w:hAnsi="仿宋" w:eastAsia="仿宋" w:cs="仿宋"/>
                <w:kern w:val="0"/>
                <w:szCs w:val="24"/>
              </w:rPr>
            </w:pPr>
          </w:p>
        </w:tc>
        <w:tc>
          <w:tcPr>
            <w:tcW w:w="155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480"/>
              <w:jc w:val="center"/>
              <w:rPr>
                <w:rFonts w:ascii="仿宋" w:hAnsi="仿宋" w:eastAsia="仿宋" w:cs="仿宋"/>
                <w:kern w:val="0"/>
                <w:szCs w:val="24"/>
              </w:rPr>
            </w:pPr>
          </w:p>
        </w:tc>
        <w:tc>
          <w:tcPr>
            <w:tcW w:w="14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ascii="仿宋" w:hAnsi="仿宋" w:eastAsia="仿宋" w:cs="仿宋"/>
                <w:kern w:val="0"/>
                <w:szCs w:val="24"/>
              </w:rPr>
              <w:t>64.</w:t>
            </w:r>
            <w:r>
              <w:rPr>
                <w:rFonts w:hint="eastAsia" w:ascii="仿宋" w:hAnsi="仿宋" w:eastAsia="仿宋" w:cs="仿宋"/>
                <w:kern w:val="0"/>
                <w:szCs w:val="24"/>
              </w:rPr>
              <w:t>3039</w:t>
            </w:r>
          </w:p>
        </w:tc>
        <w:tc>
          <w:tcPr>
            <w:tcW w:w="1059"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0"/>
                <w:szCs w:val="24"/>
              </w:rPr>
              <w:t>100</w:t>
            </w:r>
          </w:p>
        </w:tc>
        <w:tc>
          <w:tcPr>
            <w:tcW w:w="624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480"/>
              <w:jc w:val="center"/>
              <w:rPr>
                <w:rFonts w:ascii="仿宋" w:hAnsi="仿宋" w:eastAsia="仿宋" w:cs="仿宋"/>
                <w:kern w:val="0"/>
                <w:szCs w:val="24"/>
              </w:rPr>
            </w:pPr>
            <w:r>
              <w:rPr>
                <w:rFonts w:hint="eastAsia" w:ascii="仿宋" w:hAnsi="仿宋" w:eastAsia="仿宋" w:cs="仿宋"/>
                <w:kern w:val="0"/>
                <w:szCs w:val="24"/>
              </w:rPr>
              <w:t>公益性用地合计</w:t>
            </w:r>
          </w:p>
        </w:tc>
        <w:tc>
          <w:tcPr>
            <w:tcW w:w="13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eastAsia="仿宋" w:cs="仿宋"/>
                <w:kern w:val="0"/>
                <w:szCs w:val="24"/>
              </w:rPr>
            </w:pPr>
            <w:r>
              <w:rPr>
                <w:rFonts w:hint="eastAsia" w:ascii="仿宋" w:hAnsi="仿宋" w:eastAsia="仿宋" w:cs="仿宋"/>
                <w:kern w:val="44"/>
                <w:szCs w:val="24"/>
              </w:rPr>
              <w:t>41.99</w:t>
            </w:r>
          </w:p>
        </w:tc>
      </w:tr>
    </w:tbl>
    <w:p>
      <w:pPr>
        <w:ind w:firstLine="0" w:firstLineChars="0"/>
        <w:rPr>
          <w:rFonts w:ascii="仿宋" w:hAnsi="仿宋" w:eastAsia="仿宋" w:cs="仿宋"/>
          <w:sz w:val="21"/>
          <w:szCs w:val="21"/>
        </w:rPr>
      </w:pPr>
      <w:r>
        <w:rPr>
          <w:rFonts w:hint="eastAsia" w:ascii="仿宋" w:hAnsi="仿宋" w:eastAsia="仿宋" w:cs="仿宋"/>
          <w:sz w:val="21"/>
          <w:szCs w:val="21"/>
        </w:rPr>
        <w:t>注：1.土地用途：按照《国土空间调查、规划、用途管制用地用海分类指南（试行）》进行划分，应与国土空间规划成果相衔接；</w:t>
      </w:r>
    </w:p>
    <w:p>
      <w:pPr>
        <w:ind w:firstLine="420"/>
        <w:rPr>
          <w:rFonts w:ascii="仿宋" w:hAnsi="仿宋" w:eastAsia="仿宋" w:cs="仿宋"/>
          <w:sz w:val="21"/>
          <w:szCs w:val="21"/>
        </w:rPr>
      </w:pPr>
      <w:r>
        <w:rPr>
          <w:rFonts w:hint="eastAsia" w:ascii="仿宋" w:hAnsi="仿宋" w:eastAsia="仿宋" w:cs="仿宋"/>
          <w:sz w:val="21"/>
          <w:szCs w:val="21"/>
        </w:rPr>
        <w:t>2.实现功能：简要说明地块用途拟发挥的作用和效能；</w:t>
      </w:r>
    </w:p>
    <w:p>
      <w:pPr>
        <w:ind w:firstLine="420"/>
        <w:rPr>
          <w:rFonts w:ascii="仿宋" w:hAnsi="仿宋" w:eastAsia="仿宋" w:cs="仿宋"/>
          <w:sz w:val="21"/>
          <w:szCs w:val="21"/>
        </w:rPr>
      </w:pPr>
      <w:r>
        <w:rPr>
          <w:rFonts w:hint="eastAsia" w:ascii="仿宋" w:hAnsi="仿宋" w:eastAsia="仿宋" w:cs="仿宋"/>
          <w:sz w:val="21"/>
          <w:szCs w:val="21"/>
        </w:rPr>
        <w:t>3.占比：为拟用地面积占土地征收成片开发范围面积的比例；</w:t>
      </w:r>
    </w:p>
    <w:p>
      <w:pPr>
        <w:ind w:firstLine="420"/>
        <w:rPr>
          <w:rFonts w:ascii="仿宋" w:hAnsi="仿宋" w:eastAsia="仿宋" w:cs="仿宋"/>
          <w:sz w:val="21"/>
          <w:szCs w:val="21"/>
        </w:rPr>
      </w:pPr>
      <w:r>
        <w:rPr>
          <w:rFonts w:hint="eastAsia" w:ascii="仿宋" w:hAnsi="仿宋" w:eastAsia="仿宋" w:cs="仿宋"/>
          <w:sz w:val="21"/>
          <w:szCs w:val="21"/>
        </w:rPr>
        <w:t>4.是否公益性用地：公益性用地填“1”、非公益性用地填“2”，并在本列合计行填写公益性用地合计占比。</w:t>
      </w:r>
    </w:p>
    <w:p>
      <w:pPr>
        <w:pStyle w:val="2"/>
        <w:ind w:left="480" w:firstLine="420"/>
      </w:pPr>
    </w:p>
    <w:p>
      <w:pPr>
        <w:pStyle w:val="5"/>
        <w:ind w:firstLine="0" w:firstLineChars="0"/>
        <w:jc w:val="center"/>
        <w:rPr>
          <w:rFonts w:ascii="仿宋" w:hAnsi="仿宋" w:eastAsia="仿宋" w:cs="仿宋"/>
        </w:rPr>
      </w:pPr>
      <w:bookmarkStart w:id="73" w:name="_Toc113223513"/>
      <w:r>
        <w:rPr>
          <w:rFonts w:hint="eastAsia" w:ascii="仿宋" w:hAnsi="仿宋" w:eastAsia="仿宋" w:cs="仿宋"/>
        </w:rPr>
        <w:t>附表3 拟建设项目统计表</w:t>
      </w:r>
      <w:bookmarkEnd w:id="73"/>
    </w:p>
    <w:p>
      <w:pPr>
        <w:ind w:right="480" w:firstLine="0" w:firstLineChars="0"/>
        <w:jc w:val="right"/>
        <w:rPr>
          <w:rFonts w:ascii="仿宋" w:hAnsi="仿宋" w:eastAsia="仿宋" w:cs="仿宋"/>
        </w:rPr>
      </w:pPr>
      <w:r>
        <w:rPr>
          <w:rFonts w:hint="eastAsia" w:ascii="仿宋" w:hAnsi="仿宋" w:eastAsia="仿宋" w:cs="仿宋"/>
        </w:rPr>
        <w:t>单位：公顷</w:t>
      </w:r>
    </w:p>
    <w:tbl>
      <w:tblPr>
        <w:tblStyle w:val="15"/>
        <w:tblW w:w="13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4"/>
        <w:gridCol w:w="5423"/>
        <w:gridCol w:w="3791"/>
        <w:gridCol w:w="2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524" w:type="dxa"/>
            <w:vMerge w:val="restart"/>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序号</w:t>
            </w:r>
          </w:p>
        </w:tc>
        <w:tc>
          <w:tcPr>
            <w:tcW w:w="5423" w:type="dxa"/>
            <w:vMerge w:val="restart"/>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项目名称</w:t>
            </w:r>
          </w:p>
        </w:tc>
        <w:tc>
          <w:tcPr>
            <w:tcW w:w="3791" w:type="dxa"/>
            <w:vMerge w:val="restart"/>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土地用途</w:t>
            </w:r>
          </w:p>
        </w:tc>
        <w:tc>
          <w:tcPr>
            <w:tcW w:w="2582" w:type="dxa"/>
            <w:vMerge w:val="restart"/>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用地面积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524" w:type="dxa"/>
            <w:vMerge w:val="continue"/>
            <w:vAlign w:val="center"/>
          </w:tcPr>
          <w:p>
            <w:pPr>
              <w:spacing w:line="240" w:lineRule="auto"/>
              <w:ind w:leftChars="-2" w:hanging="4" w:hangingChars="2"/>
              <w:jc w:val="center"/>
              <w:rPr>
                <w:rFonts w:ascii="仿宋" w:hAnsi="仿宋" w:eastAsia="仿宋" w:cs="仿宋"/>
                <w:szCs w:val="24"/>
              </w:rPr>
            </w:pPr>
          </w:p>
        </w:tc>
        <w:tc>
          <w:tcPr>
            <w:tcW w:w="5423" w:type="dxa"/>
            <w:vMerge w:val="continue"/>
            <w:vAlign w:val="center"/>
          </w:tcPr>
          <w:p>
            <w:pPr>
              <w:spacing w:line="240" w:lineRule="auto"/>
              <w:ind w:leftChars="-2" w:hanging="4" w:hangingChars="2"/>
              <w:jc w:val="center"/>
              <w:rPr>
                <w:rFonts w:ascii="仿宋" w:hAnsi="仿宋" w:eastAsia="仿宋" w:cs="仿宋"/>
                <w:szCs w:val="24"/>
              </w:rPr>
            </w:pPr>
          </w:p>
        </w:tc>
        <w:tc>
          <w:tcPr>
            <w:tcW w:w="3791" w:type="dxa"/>
            <w:vMerge w:val="continue"/>
            <w:vAlign w:val="center"/>
          </w:tcPr>
          <w:p>
            <w:pPr>
              <w:spacing w:line="240" w:lineRule="auto"/>
              <w:ind w:leftChars="-2" w:hanging="4" w:hangingChars="2"/>
              <w:jc w:val="center"/>
              <w:rPr>
                <w:rFonts w:ascii="仿宋" w:hAnsi="仿宋" w:eastAsia="仿宋" w:cs="仿宋"/>
                <w:szCs w:val="24"/>
              </w:rPr>
            </w:pPr>
          </w:p>
        </w:tc>
        <w:tc>
          <w:tcPr>
            <w:tcW w:w="2582" w:type="dxa"/>
            <w:vMerge w:val="continue"/>
            <w:vAlign w:val="center"/>
          </w:tcPr>
          <w:p>
            <w:pPr>
              <w:spacing w:line="240" w:lineRule="auto"/>
              <w:ind w:leftChars="-2" w:hanging="4" w:hangingChars="2"/>
              <w:jc w:val="center"/>
              <w:rPr>
                <w:rFonts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4" w:type="dxa"/>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1</w:t>
            </w:r>
          </w:p>
        </w:tc>
        <w:tc>
          <w:tcPr>
            <w:tcW w:w="5423" w:type="dxa"/>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国城三元正极材料生产项目</w:t>
            </w:r>
          </w:p>
        </w:tc>
        <w:tc>
          <w:tcPr>
            <w:tcW w:w="3791" w:type="dxa"/>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工业用地</w:t>
            </w:r>
          </w:p>
        </w:tc>
        <w:tc>
          <w:tcPr>
            <w:tcW w:w="2582" w:type="dxa"/>
            <w:vAlign w:val="center"/>
          </w:tcPr>
          <w:p>
            <w:pPr>
              <w:spacing w:line="240" w:lineRule="auto"/>
              <w:ind w:leftChars="-2" w:hanging="4" w:hangingChars="2"/>
              <w:jc w:val="center"/>
              <w:rPr>
                <w:rFonts w:ascii="仿宋" w:hAnsi="仿宋" w:eastAsia="仿宋" w:cs="仿宋"/>
                <w:szCs w:val="24"/>
              </w:rPr>
            </w:pPr>
            <w:r>
              <w:rPr>
                <w:rFonts w:ascii="仿宋" w:hAnsi="仿宋" w:eastAsia="仿宋" w:cs="仿宋"/>
                <w:szCs w:val="24"/>
              </w:rPr>
              <w:t>3</w:t>
            </w:r>
            <w:r>
              <w:rPr>
                <w:rFonts w:hint="eastAsia" w:ascii="仿宋" w:hAnsi="仿宋" w:eastAsia="仿宋" w:cs="仿宋"/>
                <w:szCs w:val="24"/>
              </w:rPr>
              <w:t>7.3039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4" w:type="dxa"/>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3</w:t>
            </w:r>
          </w:p>
        </w:tc>
        <w:tc>
          <w:tcPr>
            <w:tcW w:w="5423" w:type="dxa"/>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瑞峰路及其他道路</w:t>
            </w:r>
          </w:p>
        </w:tc>
        <w:tc>
          <w:tcPr>
            <w:tcW w:w="3791" w:type="dxa"/>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城镇道路用地</w:t>
            </w:r>
          </w:p>
        </w:tc>
        <w:tc>
          <w:tcPr>
            <w:tcW w:w="2582" w:type="dxa"/>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7.8515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4" w:type="dxa"/>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4</w:t>
            </w:r>
          </w:p>
        </w:tc>
        <w:tc>
          <w:tcPr>
            <w:tcW w:w="5423" w:type="dxa"/>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方舱医院用地</w:t>
            </w:r>
          </w:p>
        </w:tc>
        <w:tc>
          <w:tcPr>
            <w:tcW w:w="3791" w:type="dxa"/>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医疗卫生用地</w:t>
            </w:r>
          </w:p>
        </w:tc>
        <w:tc>
          <w:tcPr>
            <w:tcW w:w="2582" w:type="dxa"/>
            <w:vAlign w:val="center"/>
          </w:tcPr>
          <w:p>
            <w:pPr>
              <w:spacing w:line="240" w:lineRule="auto"/>
              <w:ind w:leftChars="-2" w:hanging="4" w:hangingChars="2"/>
              <w:jc w:val="center"/>
              <w:rPr>
                <w:rFonts w:ascii="仿宋" w:hAnsi="仿宋" w:eastAsia="仿宋" w:cs="仿宋"/>
                <w:szCs w:val="24"/>
              </w:rPr>
            </w:pPr>
            <w:r>
              <w:rPr>
                <w:rFonts w:ascii="仿宋" w:hAnsi="仿宋" w:eastAsia="仿宋" w:cs="仿宋"/>
                <w:szCs w:val="24"/>
              </w:rPr>
              <w:t>17.239</w:t>
            </w:r>
            <w:r>
              <w:rPr>
                <w:rFonts w:hint="eastAsia" w:ascii="仿宋" w:hAnsi="仿宋" w:eastAsia="仿宋" w:cs="仿宋"/>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4" w:type="dxa"/>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5</w:t>
            </w:r>
          </w:p>
        </w:tc>
        <w:tc>
          <w:tcPr>
            <w:tcW w:w="5423" w:type="dxa"/>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主干道两侧防护绿地</w:t>
            </w:r>
          </w:p>
        </w:tc>
        <w:tc>
          <w:tcPr>
            <w:tcW w:w="3791" w:type="dxa"/>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防护绿地</w:t>
            </w:r>
          </w:p>
        </w:tc>
        <w:tc>
          <w:tcPr>
            <w:tcW w:w="2582" w:type="dxa"/>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1.2251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4" w:type="dxa"/>
            <w:vAlign w:val="center"/>
          </w:tcPr>
          <w:p>
            <w:pPr>
              <w:spacing w:line="240" w:lineRule="auto"/>
              <w:ind w:leftChars="-2" w:hanging="4" w:hangingChars="2"/>
              <w:jc w:val="center"/>
              <w:rPr>
                <w:rFonts w:ascii="仿宋" w:hAnsi="仿宋" w:eastAsia="仿宋" w:cs="仿宋"/>
                <w:szCs w:val="24"/>
              </w:rPr>
            </w:pPr>
            <w:bookmarkStart w:id="74" w:name="_Hlk106217169"/>
            <w:r>
              <w:rPr>
                <w:rFonts w:hint="eastAsia" w:ascii="仿宋" w:hAnsi="仿宋" w:eastAsia="仿宋" w:cs="仿宋"/>
                <w:szCs w:val="24"/>
              </w:rPr>
              <w:t>6</w:t>
            </w:r>
          </w:p>
        </w:tc>
        <w:tc>
          <w:tcPr>
            <w:tcW w:w="5423" w:type="dxa"/>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河流修缮</w:t>
            </w:r>
          </w:p>
        </w:tc>
        <w:tc>
          <w:tcPr>
            <w:tcW w:w="3791" w:type="dxa"/>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水域</w:t>
            </w:r>
          </w:p>
        </w:tc>
        <w:tc>
          <w:tcPr>
            <w:tcW w:w="2582" w:type="dxa"/>
            <w:vAlign w:val="center"/>
          </w:tcPr>
          <w:p>
            <w:pPr>
              <w:spacing w:line="240" w:lineRule="auto"/>
              <w:ind w:leftChars="-2" w:hanging="4" w:hangingChars="2"/>
              <w:jc w:val="center"/>
              <w:rPr>
                <w:rFonts w:ascii="仿宋" w:hAnsi="仿宋" w:eastAsia="仿宋" w:cs="仿宋"/>
                <w:szCs w:val="24"/>
              </w:rPr>
            </w:pPr>
            <w:r>
              <w:rPr>
                <w:rFonts w:ascii="仿宋" w:hAnsi="仿宋" w:eastAsia="仿宋" w:cs="仿宋"/>
                <w:szCs w:val="24"/>
              </w:rPr>
              <w:t>0.</w:t>
            </w:r>
            <w:r>
              <w:rPr>
                <w:rFonts w:hint="eastAsia" w:ascii="仿宋" w:hAnsi="仿宋" w:eastAsia="仿宋" w:cs="仿宋"/>
                <w:szCs w:val="24"/>
              </w:rPr>
              <w:t>6841</w:t>
            </w:r>
          </w:p>
        </w:tc>
      </w:tr>
      <w:bookmarkEnd w:id="7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38" w:type="dxa"/>
            <w:gridSpan w:val="3"/>
            <w:vAlign w:val="center"/>
          </w:tcPr>
          <w:p>
            <w:pPr>
              <w:spacing w:line="240" w:lineRule="auto"/>
              <w:ind w:leftChars="-2" w:hanging="4" w:hangingChars="2"/>
              <w:jc w:val="center"/>
              <w:rPr>
                <w:rFonts w:ascii="仿宋" w:hAnsi="仿宋" w:eastAsia="仿宋" w:cs="仿宋"/>
                <w:szCs w:val="24"/>
              </w:rPr>
            </w:pPr>
            <w:r>
              <w:rPr>
                <w:rFonts w:hint="eastAsia" w:ascii="仿宋" w:hAnsi="仿宋" w:eastAsia="仿宋" w:cs="仿宋"/>
                <w:szCs w:val="24"/>
              </w:rPr>
              <w:t>合计</w:t>
            </w:r>
          </w:p>
        </w:tc>
        <w:tc>
          <w:tcPr>
            <w:tcW w:w="2582" w:type="dxa"/>
            <w:vAlign w:val="center"/>
          </w:tcPr>
          <w:p>
            <w:pPr>
              <w:spacing w:line="240" w:lineRule="auto"/>
              <w:ind w:leftChars="-2" w:hanging="4" w:hangingChars="2"/>
              <w:jc w:val="center"/>
              <w:rPr>
                <w:rFonts w:ascii="仿宋" w:hAnsi="仿宋" w:eastAsia="仿宋" w:cs="仿宋"/>
                <w:szCs w:val="24"/>
              </w:rPr>
            </w:pPr>
            <w:r>
              <w:rPr>
                <w:rFonts w:ascii="仿宋" w:hAnsi="仿宋" w:eastAsia="仿宋" w:cs="仿宋"/>
                <w:szCs w:val="24"/>
              </w:rPr>
              <w:t>64.</w:t>
            </w:r>
            <w:r>
              <w:rPr>
                <w:rFonts w:hint="eastAsia" w:ascii="仿宋" w:hAnsi="仿宋" w:eastAsia="仿宋" w:cs="仿宋"/>
                <w:szCs w:val="24"/>
              </w:rPr>
              <w:t>3039</w:t>
            </w:r>
          </w:p>
        </w:tc>
      </w:tr>
    </w:tbl>
    <w:p>
      <w:pPr>
        <w:ind w:firstLine="210" w:firstLineChars="100"/>
        <w:jc w:val="left"/>
        <w:rPr>
          <w:rFonts w:ascii="仿宋" w:hAnsi="仿宋" w:eastAsia="仿宋" w:cs="仿宋"/>
          <w:sz w:val="21"/>
          <w:szCs w:val="21"/>
        </w:rPr>
      </w:pPr>
      <w:r>
        <w:rPr>
          <w:rFonts w:hint="eastAsia" w:ascii="仿宋" w:hAnsi="仿宋" w:eastAsia="仿宋" w:cs="仿宋"/>
          <w:sz w:val="21"/>
          <w:szCs w:val="21"/>
        </w:rPr>
        <w:t>注：按拟建设项目统计；用途统计应与附表</w:t>
      </w:r>
      <w:r>
        <w:rPr>
          <w:rFonts w:ascii="仿宋" w:hAnsi="仿宋" w:eastAsia="仿宋" w:cs="仿宋"/>
          <w:sz w:val="21"/>
          <w:szCs w:val="21"/>
        </w:rPr>
        <w:t xml:space="preserve"> 2 二级类一致。</w:t>
      </w:r>
    </w:p>
    <w:p>
      <w:pPr>
        <w:ind w:firstLine="420"/>
        <w:jc w:val="left"/>
        <w:rPr>
          <w:sz w:val="21"/>
          <w:szCs w:val="21"/>
        </w:rPr>
      </w:pPr>
    </w:p>
    <w:p>
      <w:pPr>
        <w:ind w:firstLine="420"/>
        <w:jc w:val="left"/>
        <w:rPr>
          <w:sz w:val="21"/>
          <w:szCs w:val="21"/>
        </w:rPr>
      </w:pPr>
    </w:p>
    <w:p>
      <w:pPr>
        <w:pStyle w:val="2"/>
        <w:ind w:left="480" w:firstLine="420"/>
      </w:pPr>
    </w:p>
    <w:p>
      <w:pPr>
        <w:pStyle w:val="2"/>
        <w:ind w:left="480" w:firstLine="420"/>
      </w:pPr>
    </w:p>
    <w:p>
      <w:pPr>
        <w:ind w:firstLine="0" w:firstLineChars="0"/>
        <w:jc w:val="left"/>
        <w:rPr>
          <w:sz w:val="21"/>
          <w:szCs w:val="21"/>
        </w:rPr>
      </w:pPr>
    </w:p>
    <w:p>
      <w:pPr>
        <w:pStyle w:val="5"/>
        <w:ind w:firstLine="482"/>
        <w:jc w:val="center"/>
        <w:rPr>
          <w:rFonts w:ascii="仿宋" w:hAnsi="仿宋" w:eastAsia="仿宋" w:cs="仿宋"/>
          <w:sz w:val="21"/>
          <w:szCs w:val="21"/>
        </w:rPr>
      </w:pPr>
      <w:bookmarkStart w:id="75" w:name="_Toc113223514"/>
      <w:r>
        <w:rPr>
          <w:rFonts w:hint="eastAsia" w:ascii="仿宋" w:hAnsi="仿宋" w:eastAsia="仿宋" w:cs="仿宋"/>
        </w:rPr>
        <w:t>附表4 开发时序和年度实施计划统计表</w:t>
      </w:r>
      <w:bookmarkEnd w:id="75"/>
    </w:p>
    <w:p>
      <w:pPr>
        <w:ind w:right="720" w:firstLine="0" w:firstLineChars="0"/>
        <w:jc w:val="right"/>
        <w:rPr>
          <w:rFonts w:ascii="仿宋" w:hAnsi="仿宋" w:eastAsia="仿宋" w:cs="仿宋"/>
        </w:rPr>
      </w:pPr>
      <w:r>
        <w:rPr>
          <w:rFonts w:hint="eastAsia" w:ascii="仿宋" w:hAnsi="仿宋" w:eastAsia="仿宋" w:cs="仿宋"/>
        </w:rPr>
        <w:t>单位：公顷、%</w:t>
      </w:r>
    </w:p>
    <w:tbl>
      <w:tblPr>
        <w:tblStyle w:val="15"/>
        <w:tblW w:w="12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1609"/>
        <w:gridCol w:w="1600"/>
        <w:gridCol w:w="1710"/>
        <w:gridCol w:w="1984"/>
        <w:gridCol w:w="2268"/>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9" w:type="dxa"/>
            <w:vMerge w:val="restart"/>
            <w:vAlign w:val="center"/>
          </w:tcPr>
          <w:p>
            <w:pPr>
              <w:spacing w:line="240" w:lineRule="auto"/>
              <w:ind w:firstLine="0" w:firstLineChars="0"/>
              <w:jc w:val="center"/>
              <w:rPr>
                <w:rFonts w:ascii="仿宋" w:hAnsi="仿宋" w:eastAsia="仿宋" w:cs="仿宋"/>
                <w:kern w:val="0"/>
                <w:szCs w:val="24"/>
              </w:rPr>
            </w:pPr>
            <w:r>
              <w:rPr>
                <w:rFonts w:hint="eastAsia" w:ascii="仿宋" w:hAnsi="仿宋" w:eastAsia="仿宋" w:cs="仿宋"/>
                <w:szCs w:val="24"/>
              </w:rPr>
              <w:t>实施总面积</w:t>
            </w:r>
          </w:p>
        </w:tc>
        <w:tc>
          <w:tcPr>
            <w:tcW w:w="3209" w:type="dxa"/>
            <w:gridSpan w:val="2"/>
            <w:vAlign w:val="center"/>
          </w:tcPr>
          <w:p>
            <w:pPr>
              <w:spacing w:line="240" w:lineRule="auto"/>
              <w:ind w:firstLine="0" w:firstLineChars="0"/>
              <w:jc w:val="center"/>
              <w:rPr>
                <w:rFonts w:ascii="仿宋" w:hAnsi="仿宋" w:eastAsia="仿宋" w:cs="仿宋"/>
                <w:szCs w:val="24"/>
              </w:rPr>
            </w:pPr>
            <w:r>
              <w:rPr>
                <w:rFonts w:hint="eastAsia" w:ascii="仿宋" w:hAnsi="仿宋" w:eastAsia="仿宋" w:cs="仿宋"/>
                <w:szCs w:val="24"/>
              </w:rPr>
              <w:t>2022年</w:t>
            </w:r>
          </w:p>
        </w:tc>
        <w:tc>
          <w:tcPr>
            <w:tcW w:w="3694" w:type="dxa"/>
            <w:gridSpan w:val="2"/>
            <w:vAlign w:val="center"/>
          </w:tcPr>
          <w:p>
            <w:pPr>
              <w:spacing w:line="240" w:lineRule="auto"/>
              <w:ind w:firstLine="0" w:firstLineChars="0"/>
              <w:jc w:val="center"/>
              <w:rPr>
                <w:rFonts w:ascii="仿宋" w:hAnsi="仿宋" w:eastAsia="仿宋" w:cs="仿宋"/>
                <w:szCs w:val="24"/>
              </w:rPr>
            </w:pPr>
            <w:r>
              <w:rPr>
                <w:rFonts w:hint="eastAsia" w:ascii="仿宋" w:hAnsi="仿宋" w:eastAsia="仿宋" w:cs="仿宋"/>
                <w:szCs w:val="24"/>
              </w:rPr>
              <w:t>2023年</w:t>
            </w:r>
          </w:p>
        </w:tc>
        <w:tc>
          <w:tcPr>
            <w:tcW w:w="4116" w:type="dxa"/>
            <w:gridSpan w:val="2"/>
            <w:vAlign w:val="center"/>
          </w:tcPr>
          <w:p>
            <w:pPr>
              <w:spacing w:line="240" w:lineRule="auto"/>
              <w:ind w:firstLine="0" w:firstLineChars="0"/>
              <w:jc w:val="center"/>
              <w:rPr>
                <w:rFonts w:ascii="仿宋" w:hAnsi="仿宋" w:eastAsia="仿宋" w:cs="仿宋"/>
                <w:szCs w:val="24"/>
              </w:rPr>
            </w:pPr>
            <w:r>
              <w:rPr>
                <w:rFonts w:hint="eastAsia" w:ascii="仿宋" w:hAnsi="仿宋" w:eastAsia="仿宋" w:cs="仿宋"/>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9" w:type="dxa"/>
            <w:vMerge w:val="continue"/>
            <w:vAlign w:val="center"/>
          </w:tcPr>
          <w:p>
            <w:pPr>
              <w:ind w:firstLine="480"/>
              <w:jc w:val="center"/>
              <w:rPr>
                <w:rFonts w:ascii="仿宋" w:hAnsi="仿宋" w:eastAsia="仿宋" w:cs="仿宋"/>
                <w:kern w:val="0"/>
                <w:szCs w:val="24"/>
              </w:rPr>
            </w:pPr>
          </w:p>
        </w:tc>
        <w:tc>
          <w:tcPr>
            <w:tcW w:w="1609" w:type="dxa"/>
            <w:vAlign w:val="center"/>
          </w:tcPr>
          <w:p>
            <w:pPr>
              <w:spacing w:line="240" w:lineRule="auto"/>
              <w:ind w:firstLine="0" w:firstLineChars="0"/>
              <w:jc w:val="center"/>
              <w:rPr>
                <w:rFonts w:ascii="仿宋" w:hAnsi="仿宋" w:eastAsia="仿宋" w:cs="仿宋"/>
                <w:szCs w:val="24"/>
              </w:rPr>
            </w:pPr>
            <w:r>
              <w:rPr>
                <w:rFonts w:hint="eastAsia" w:ascii="仿宋" w:hAnsi="仿宋" w:eastAsia="仿宋" w:cs="仿宋"/>
                <w:szCs w:val="24"/>
              </w:rPr>
              <w:t>完成面积</w:t>
            </w:r>
          </w:p>
        </w:tc>
        <w:tc>
          <w:tcPr>
            <w:tcW w:w="1600" w:type="dxa"/>
            <w:vAlign w:val="center"/>
          </w:tcPr>
          <w:p>
            <w:pPr>
              <w:spacing w:line="240" w:lineRule="auto"/>
              <w:ind w:firstLine="0" w:firstLineChars="0"/>
              <w:jc w:val="center"/>
              <w:rPr>
                <w:rFonts w:ascii="仿宋" w:hAnsi="仿宋" w:eastAsia="仿宋" w:cs="仿宋"/>
                <w:szCs w:val="24"/>
              </w:rPr>
            </w:pPr>
            <w:r>
              <w:rPr>
                <w:rFonts w:hint="eastAsia" w:ascii="仿宋" w:hAnsi="仿宋" w:eastAsia="仿宋" w:cs="仿宋"/>
                <w:szCs w:val="24"/>
              </w:rPr>
              <w:t>比例</w:t>
            </w:r>
          </w:p>
        </w:tc>
        <w:tc>
          <w:tcPr>
            <w:tcW w:w="1710" w:type="dxa"/>
            <w:vAlign w:val="center"/>
          </w:tcPr>
          <w:p>
            <w:pPr>
              <w:spacing w:line="240" w:lineRule="auto"/>
              <w:ind w:firstLine="0" w:firstLineChars="0"/>
              <w:jc w:val="center"/>
              <w:rPr>
                <w:rFonts w:ascii="仿宋" w:hAnsi="仿宋" w:eastAsia="仿宋" w:cs="仿宋"/>
                <w:szCs w:val="24"/>
              </w:rPr>
            </w:pPr>
            <w:r>
              <w:rPr>
                <w:rFonts w:hint="eastAsia" w:ascii="仿宋" w:hAnsi="仿宋" w:eastAsia="仿宋" w:cs="仿宋"/>
                <w:szCs w:val="24"/>
              </w:rPr>
              <w:t>完成面积</w:t>
            </w:r>
          </w:p>
        </w:tc>
        <w:tc>
          <w:tcPr>
            <w:tcW w:w="1984" w:type="dxa"/>
            <w:vAlign w:val="center"/>
          </w:tcPr>
          <w:p>
            <w:pPr>
              <w:spacing w:line="240" w:lineRule="auto"/>
              <w:ind w:firstLine="0" w:firstLineChars="0"/>
              <w:jc w:val="center"/>
              <w:rPr>
                <w:rFonts w:ascii="仿宋" w:hAnsi="仿宋" w:eastAsia="仿宋" w:cs="仿宋"/>
                <w:szCs w:val="24"/>
              </w:rPr>
            </w:pPr>
            <w:r>
              <w:rPr>
                <w:rFonts w:hint="eastAsia" w:ascii="仿宋" w:hAnsi="仿宋" w:eastAsia="仿宋" w:cs="仿宋"/>
                <w:szCs w:val="24"/>
              </w:rPr>
              <w:t>比例</w:t>
            </w:r>
          </w:p>
        </w:tc>
        <w:tc>
          <w:tcPr>
            <w:tcW w:w="2268" w:type="dxa"/>
            <w:vAlign w:val="center"/>
          </w:tcPr>
          <w:p>
            <w:pPr>
              <w:spacing w:line="240" w:lineRule="auto"/>
              <w:ind w:firstLine="0" w:firstLineChars="0"/>
              <w:jc w:val="center"/>
              <w:rPr>
                <w:rFonts w:ascii="仿宋" w:hAnsi="仿宋" w:eastAsia="仿宋" w:cs="仿宋"/>
                <w:szCs w:val="24"/>
              </w:rPr>
            </w:pPr>
            <w:r>
              <w:rPr>
                <w:rFonts w:hint="eastAsia" w:ascii="仿宋" w:hAnsi="仿宋" w:eastAsia="仿宋" w:cs="仿宋"/>
                <w:szCs w:val="24"/>
              </w:rPr>
              <w:t>完成面积</w:t>
            </w:r>
          </w:p>
        </w:tc>
        <w:tc>
          <w:tcPr>
            <w:tcW w:w="1848" w:type="dxa"/>
            <w:vAlign w:val="center"/>
          </w:tcPr>
          <w:p>
            <w:pPr>
              <w:spacing w:line="240" w:lineRule="auto"/>
              <w:ind w:firstLine="0" w:firstLineChars="0"/>
              <w:jc w:val="center"/>
              <w:rPr>
                <w:rFonts w:ascii="仿宋" w:hAnsi="仿宋" w:eastAsia="仿宋" w:cs="仿宋"/>
                <w:szCs w:val="24"/>
              </w:rPr>
            </w:pPr>
            <w:r>
              <w:rPr>
                <w:rFonts w:hint="eastAsia" w:ascii="仿宋" w:hAnsi="仿宋" w:eastAsia="仿宋" w:cs="仿宋"/>
                <w:szCs w:val="24"/>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9" w:type="dxa"/>
            <w:vAlign w:val="center"/>
          </w:tcPr>
          <w:p>
            <w:pPr>
              <w:spacing w:line="240" w:lineRule="auto"/>
              <w:ind w:firstLine="0" w:firstLineChars="0"/>
              <w:jc w:val="center"/>
              <w:rPr>
                <w:rFonts w:ascii="仿宋" w:hAnsi="仿宋" w:eastAsia="仿宋" w:cs="仿宋"/>
                <w:kern w:val="0"/>
                <w:szCs w:val="24"/>
              </w:rPr>
            </w:pPr>
            <w:r>
              <w:rPr>
                <w:rFonts w:ascii="仿宋" w:hAnsi="仿宋" w:eastAsia="仿宋" w:cs="仿宋"/>
                <w:szCs w:val="24"/>
              </w:rPr>
              <w:t>64.782</w:t>
            </w:r>
            <w:r>
              <w:rPr>
                <w:rFonts w:hint="eastAsia" w:ascii="仿宋" w:hAnsi="仿宋" w:eastAsia="仿宋" w:cs="仿宋"/>
                <w:szCs w:val="24"/>
              </w:rPr>
              <w:t>9</w:t>
            </w:r>
          </w:p>
        </w:tc>
        <w:tc>
          <w:tcPr>
            <w:tcW w:w="1609" w:type="dxa"/>
            <w:vAlign w:val="center"/>
          </w:tcPr>
          <w:p>
            <w:pPr>
              <w:spacing w:line="240" w:lineRule="auto"/>
              <w:ind w:firstLine="0" w:firstLineChars="0"/>
              <w:jc w:val="center"/>
              <w:rPr>
                <w:rFonts w:ascii="仿宋" w:hAnsi="仿宋" w:eastAsia="仿宋" w:cs="仿宋"/>
                <w:szCs w:val="24"/>
              </w:rPr>
            </w:pPr>
            <w:r>
              <w:rPr>
                <w:rFonts w:ascii="仿宋" w:hAnsi="仿宋" w:eastAsia="仿宋" w:cs="仿宋"/>
                <w:szCs w:val="24"/>
              </w:rPr>
              <w:t>17.721</w:t>
            </w:r>
            <w:r>
              <w:rPr>
                <w:rFonts w:hint="eastAsia" w:ascii="仿宋" w:hAnsi="仿宋" w:eastAsia="仿宋" w:cs="仿宋"/>
                <w:szCs w:val="24"/>
              </w:rPr>
              <w:t>1</w:t>
            </w:r>
          </w:p>
        </w:tc>
        <w:tc>
          <w:tcPr>
            <w:tcW w:w="1600" w:type="dxa"/>
            <w:vAlign w:val="center"/>
          </w:tcPr>
          <w:p>
            <w:pPr>
              <w:spacing w:line="240" w:lineRule="auto"/>
              <w:ind w:firstLine="0" w:firstLineChars="0"/>
              <w:jc w:val="center"/>
              <w:rPr>
                <w:rFonts w:ascii="仿宋" w:hAnsi="仿宋" w:eastAsia="仿宋" w:cs="仿宋"/>
                <w:szCs w:val="24"/>
              </w:rPr>
            </w:pPr>
            <w:r>
              <w:rPr>
                <w:rFonts w:ascii="仿宋" w:hAnsi="仿宋" w:eastAsia="仿宋" w:cs="仿宋"/>
                <w:szCs w:val="24"/>
              </w:rPr>
              <w:t>27.</w:t>
            </w:r>
            <w:r>
              <w:rPr>
                <w:rFonts w:hint="eastAsia" w:ascii="仿宋" w:hAnsi="仿宋" w:eastAsia="仿宋" w:cs="仿宋"/>
                <w:szCs w:val="24"/>
              </w:rPr>
              <w:t>56</w:t>
            </w:r>
          </w:p>
        </w:tc>
        <w:tc>
          <w:tcPr>
            <w:tcW w:w="1710" w:type="dxa"/>
            <w:vAlign w:val="center"/>
          </w:tcPr>
          <w:p>
            <w:pPr>
              <w:pStyle w:val="2"/>
              <w:spacing w:after="0" w:line="240" w:lineRule="auto"/>
              <w:ind w:left="19" w:leftChars="7" w:hanging="2" w:firstLineChars="0"/>
              <w:jc w:val="center"/>
              <w:rPr>
                <w:rFonts w:ascii="仿宋" w:hAnsi="仿宋" w:eastAsia="仿宋" w:cs="仿宋"/>
                <w:sz w:val="24"/>
                <w:szCs w:val="24"/>
              </w:rPr>
            </w:pPr>
            <w:r>
              <w:rPr>
                <w:rFonts w:ascii="仿宋" w:hAnsi="仿宋" w:eastAsia="仿宋" w:cs="仿宋"/>
                <w:sz w:val="24"/>
                <w:szCs w:val="24"/>
              </w:rPr>
              <w:t>28.</w:t>
            </w:r>
            <w:r>
              <w:rPr>
                <w:rFonts w:hint="eastAsia" w:ascii="仿宋" w:hAnsi="仿宋" w:eastAsia="仿宋" w:cs="仿宋"/>
                <w:sz w:val="24"/>
                <w:szCs w:val="24"/>
              </w:rPr>
              <w:t>7946</w:t>
            </w:r>
          </w:p>
        </w:tc>
        <w:tc>
          <w:tcPr>
            <w:tcW w:w="1984" w:type="dxa"/>
            <w:vAlign w:val="center"/>
          </w:tcPr>
          <w:p>
            <w:pPr>
              <w:spacing w:line="240" w:lineRule="auto"/>
              <w:ind w:firstLine="0" w:firstLineChars="0"/>
              <w:jc w:val="center"/>
              <w:rPr>
                <w:rFonts w:ascii="仿宋" w:hAnsi="仿宋" w:eastAsia="仿宋" w:cs="仿宋"/>
                <w:szCs w:val="24"/>
              </w:rPr>
            </w:pPr>
            <w:r>
              <w:rPr>
                <w:rFonts w:ascii="仿宋" w:hAnsi="仿宋" w:eastAsia="仿宋" w:cs="仿宋"/>
                <w:szCs w:val="24"/>
              </w:rPr>
              <w:t>44.</w:t>
            </w:r>
            <w:r>
              <w:rPr>
                <w:rFonts w:hint="eastAsia" w:ascii="仿宋" w:hAnsi="仿宋" w:eastAsia="仿宋" w:cs="仿宋"/>
                <w:szCs w:val="24"/>
              </w:rPr>
              <w:t>7</w:t>
            </w:r>
            <w:r>
              <w:rPr>
                <w:rFonts w:ascii="仿宋" w:hAnsi="仿宋" w:eastAsia="仿宋" w:cs="仿宋"/>
                <w:szCs w:val="24"/>
              </w:rPr>
              <w:t>8</w:t>
            </w:r>
          </w:p>
        </w:tc>
        <w:tc>
          <w:tcPr>
            <w:tcW w:w="2268" w:type="dxa"/>
            <w:vAlign w:val="center"/>
          </w:tcPr>
          <w:p>
            <w:pPr>
              <w:spacing w:line="240" w:lineRule="auto"/>
              <w:ind w:firstLine="0" w:firstLineChars="0"/>
              <w:jc w:val="center"/>
              <w:rPr>
                <w:rFonts w:ascii="仿宋" w:hAnsi="仿宋" w:eastAsia="仿宋" w:cs="仿宋"/>
                <w:szCs w:val="24"/>
              </w:rPr>
            </w:pPr>
            <w:r>
              <w:rPr>
                <w:rFonts w:ascii="仿宋" w:hAnsi="仿宋" w:eastAsia="仿宋" w:cs="仿宋"/>
                <w:szCs w:val="24"/>
              </w:rPr>
              <w:t>1</w:t>
            </w:r>
            <w:r>
              <w:rPr>
                <w:rFonts w:hint="eastAsia" w:ascii="仿宋" w:hAnsi="仿宋" w:eastAsia="仿宋" w:cs="仿宋"/>
                <w:szCs w:val="24"/>
              </w:rPr>
              <w:t>7.7882</w:t>
            </w:r>
          </w:p>
        </w:tc>
        <w:tc>
          <w:tcPr>
            <w:tcW w:w="1848" w:type="dxa"/>
            <w:vAlign w:val="center"/>
          </w:tcPr>
          <w:p>
            <w:pPr>
              <w:spacing w:line="240" w:lineRule="auto"/>
              <w:ind w:firstLine="0" w:firstLineChars="0"/>
              <w:jc w:val="center"/>
              <w:rPr>
                <w:rFonts w:ascii="仿宋" w:hAnsi="仿宋" w:eastAsia="仿宋" w:cs="仿宋"/>
                <w:szCs w:val="24"/>
              </w:rPr>
            </w:pPr>
            <w:r>
              <w:rPr>
                <w:rFonts w:ascii="仿宋" w:hAnsi="仿宋" w:eastAsia="仿宋" w:cs="仿宋"/>
                <w:szCs w:val="24"/>
              </w:rPr>
              <w:t>2</w:t>
            </w:r>
            <w:r>
              <w:rPr>
                <w:rFonts w:hint="eastAsia" w:ascii="仿宋" w:hAnsi="仿宋" w:eastAsia="仿宋" w:cs="仿宋"/>
                <w:szCs w:val="24"/>
              </w:rPr>
              <w:t>7.6</w:t>
            </w:r>
            <w:r>
              <w:rPr>
                <w:rFonts w:ascii="仿宋" w:hAnsi="仿宋" w:eastAsia="仿宋" w:cs="仿宋"/>
                <w:szCs w:val="24"/>
              </w:rPr>
              <w:t>6</w:t>
            </w:r>
          </w:p>
        </w:tc>
      </w:tr>
    </w:tbl>
    <w:p>
      <w:pPr>
        <w:ind w:firstLine="420"/>
        <w:rPr>
          <w:rFonts w:ascii="仿宋" w:hAnsi="仿宋" w:eastAsia="仿宋" w:cs="仿宋"/>
          <w:sz w:val="21"/>
          <w:szCs w:val="21"/>
        </w:rPr>
      </w:pPr>
      <w:r>
        <w:rPr>
          <w:rFonts w:hint="eastAsia" w:ascii="仿宋" w:hAnsi="仿宋" w:eastAsia="仿宋" w:cs="仿宋"/>
          <w:sz w:val="21"/>
          <w:szCs w:val="21"/>
        </w:rPr>
        <w:t>注：实施总面积与附表3合计面积一致。</w:t>
      </w:r>
    </w:p>
    <w:p>
      <w:pPr>
        <w:ind w:firstLine="420"/>
        <w:rPr>
          <w:sz w:val="21"/>
          <w:szCs w:val="21"/>
        </w:rPr>
      </w:pPr>
    </w:p>
    <w:p>
      <w:pPr>
        <w:pStyle w:val="2"/>
        <w:ind w:left="480" w:firstLine="420"/>
      </w:pPr>
    </w:p>
    <w:sectPr>
      <w:pgSz w:w="16838" w:h="11906" w:orient="landscape"/>
      <w:pgMar w:top="1797" w:right="1440" w:bottom="1797" w:left="1440" w:header="851" w:footer="992" w:gutter="0"/>
      <w:pgNumType w:start="1"/>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0046302"/>
    </w:sdtPr>
    <w:sdtContent>
      <w:p>
        <w:pPr>
          <w:pStyle w:val="9"/>
          <w:ind w:firstLine="360"/>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11</w:t>
        </w:r>
        <w:r>
          <w:rPr>
            <w:rFonts w:ascii="Times New Roman" w:hAnsi="Times New Roman" w:cs="Times New Roman"/>
          </w:rPr>
          <w:fldChar w:fldCharType="end"/>
        </w:r>
      </w:p>
    </w:sdtContent>
  </w:sdt>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0" w:lineRule="atLeast"/>
      <w:ind w:left="-228" w:leftChars="-95" w:right="-358" w:rightChars="-149" w:firstLine="0" w:firstLineChars="0"/>
      <w:jc w:val="center"/>
      <w:rPr>
        <w:rFonts w:ascii="宋体" w:hAnsi="宋体"/>
        <w:sz w:val="24"/>
        <w:szCs w:val="24"/>
      </w:rPr>
    </w:pPr>
    <w:bookmarkStart w:id="76" w:name="_GoBack"/>
    <w:bookmarkEnd w:id="76"/>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7C8230"/>
    <w:multiLevelType w:val="singleLevel"/>
    <w:tmpl w:val="B97C823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doNotValidateAgainstSchema/>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IwOWFhY2NiZDk0ZWZhZWZkNzJlOGIwMjY4MTcyMjMifQ=="/>
  </w:docVars>
  <w:rsids>
    <w:rsidRoot w:val="00172A27"/>
    <w:rsid w:val="00000B1F"/>
    <w:rsid w:val="00000BB5"/>
    <w:rsid w:val="00005ADA"/>
    <w:rsid w:val="0000608E"/>
    <w:rsid w:val="0002451D"/>
    <w:rsid w:val="000269E3"/>
    <w:rsid w:val="000357B7"/>
    <w:rsid w:val="000450D0"/>
    <w:rsid w:val="000544B0"/>
    <w:rsid w:val="0005608F"/>
    <w:rsid w:val="00061846"/>
    <w:rsid w:val="0006669E"/>
    <w:rsid w:val="00074FCC"/>
    <w:rsid w:val="00087546"/>
    <w:rsid w:val="000906E0"/>
    <w:rsid w:val="00091064"/>
    <w:rsid w:val="00092C12"/>
    <w:rsid w:val="00095FC1"/>
    <w:rsid w:val="000A1FBE"/>
    <w:rsid w:val="000B09FC"/>
    <w:rsid w:val="000B1AB7"/>
    <w:rsid w:val="000B4AF6"/>
    <w:rsid w:val="000B621C"/>
    <w:rsid w:val="000B7E09"/>
    <w:rsid w:val="000C30D7"/>
    <w:rsid w:val="000D0EE5"/>
    <w:rsid w:val="000E3F2F"/>
    <w:rsid w:val="000E5AF2"/>
    <w:rsid w:val="000F303B"/>
    <w:rsid w:val="001040BA"/>
    <w:rsid w:val="00120BC2"/>
    <w:rsid w:val="0012311A"/>
    <w:rsid w:val="00124246"/>
    <w:rsid w:val="00133851"/>
    <w:rsid w:val="00137752"/>
    <w:rsid w:val="001438A2"/>
    <w:rsid w:val="0014589F"/>
    <w:rsid w:val="00146368"/>
    <w:rsid w:val="00156AD4"/>
    <w:rsid w:val="00164886"/>
    <w:rsid w:val="00172A27"/>
    <w:rsid w:val="001730E8"/>
    <w:rsid w:val="001761B9"/>
    <w:rsid w:val="0017751A"/>
    <w:rsid w:val="00182CE7"/>
    <w:rsid w:val="00184697"/>
    <w:rsid w:val="00185DAB"/>
    <w:rsid w:val="0019055D"/>
    <w:rsid w:val="00196521"/>
    <w:rsid w:val="00196A47"/>
    <w:rsid w:val="001A0577"/>
    <w:rsid w:val="001A0961"/>
    <w:rsid w:val="001B126E"/>
    <w:rsid w:val="001B18F1"/>
    <w:rsid w:val="001B5825"/>
    <w:rsid w:val="001C376E"/>
    <w:rsid w:val="001C47C6"/>
    <w:rsid w:val="001E1147"/>
    <w:rsid w:val="001E47CC"/>
    <w:rsid w:val="001E4D8F"/>
    <w:rsid w:val="001F142D"/>
    <w:rsid w:val="00200AC9"/>
    <w:rsid w:val="002065FE"/>
    <w:rsid w:val="002066E3"/>
    <w:rsid w:val="00210672"/>
    <w:rsid w:val="002108DC"/>
    <w:rsid w:val="00212526"/>
    <w:rsid w:val="00217624"/>
    <w:rsid w:val="00220A69"/>
    <w:rsid w:val="0023582C"/>
    <w:rsid w:val="00241802"/>
    <w:rsid w:val="00241D5B"/>
    <w:rsid w:val="002507A2"/>
    <w:rsid w:val="002564DA"/>
    <w:rsid w:val="0025718E"/>
    <w:rsid w:val="00263FDB"/>
    <w:rsid w:val="0027522C"/>
    <w:rsid w:val="00277588"/>
    <w:rsid w:val="00277995"/>
    <w:rsid w:val="00287CE7"/>
    <w:rsid w:val="00287F13"/>
    <w:rsid w:val="002920B5"/>
    <w:rsid w:val="002A3CCA"/>
    <w:rsid w:val="002A711A"/>
    <w:rsid w:val="002D265C"/>
    <w:rsid w:val="002D37B2"/>
    <w:rsid w:val="002D6775"/>
    <w:rsid w:val="002E0A24"/>
    <w:rsid w:val="002E27ED"/>
    <w:rsid w:val="002E33C7"/>
    <w:rsid w:val="002E4E52"/>
    <w:rsid w:val="002F15E5"/>
    <w:rsid w:val="002F17FC"/>
    <w:rsid w:val="002F4DA8"/>
    <w:rsid w:val="002F5126"/>
    <w:rsid w:val="002F6657"/>
    <w:rsid w:val="00303F94"/>
    <w:rsid w:val="00305D43"/>
    <w:rsid w:val="00313DD1"/>
    <w:rsid w:val="0031606A"/>
    <w:rsid w:val="00323EA5"/>
    <w:rsid w:val="00324295"/>
    <w:rsid w:val="00330F19"/>
    <w:rsid w:val="00335E82"/>
    <w:rsid w:val="003443D6"/>
    <w:rsid w:val="00344E3F"/>
    <w:rsid w:val="00350CAA"/>
    <w:rsid w:val="00356BD7"/>
    <w:rsid w:val="00360FCF"/>
    <w:rsid w:val="00373523"/>
    <w:rsid w:val="00373FF4"/>
    <w:rsid w:val="003758B7"/>
    <w:rsid w:val="00380DDF"/>
    <w:rsid w:val="00384159"/>
    <w:rsid w:val="003906D7"/>
    <w:rsid w:val="003926A2"/>
    <w:rsid w:val="00393B67"/>
    <w:rsid w:val="00397070"/>
    <w:rsid w:val="003A349B"/>
    <w:rsid w:val="003A546F"/>
    <w:rsid w:val="003A55E8"/>
    <w:rsid w:val="003B0043"/>
    <w:rsid w:val="003B585F"/>
    <w:rsid w:val="003C014B"/>
    <w:rsid w:val="003D6781"/>
    <w:rsid w:val="003D7CD0"/>
    <w:rsid w:val="003E0F8F"/>
    <w:rsid w:val="003E5B75"/>
    <w:rsid w:val="003E6847"/>
    <w:rsid w:val="003E6944"/>
    <w:rsid w:val="003F6B75"/>
    <w:rsid w:val="0040564E"/>
    <w:rsid w:val="00411BB6"/>
    <w:rsid w:val="004129F3"/>
    <w:rsid w:val="00414C75"/>
    <w:rsid w:val="004263A6"/>
    <w:rsid w:val="00441566"/>
    <w:rsid w:val="00442DF7"/>
    <w:rsid w:val="004436C6"/>
    <w:rsid w:val="00443E0A"/>
    <w:rsid w:val="00443E5B"/>
    <w:rsid w:val="00450281"/>
    <w:rsid w:val="00451E6B"/>
    <w:rsid w:val="00456BF2"/>
    <w:rsid w:val="004642C2"/>
    <w:rsid w:val="004643BD"/>
    <w:rsid w:val="00471984"/>
    <w:rsid w:val="00473E02"/>
    <w:rsid w:val="00477EC6"/>
    <w:rsid w:val="0048742F"/>
    <w:rsid w:val="004A04C9"/>
    <w:rsid w:val="004B53A6"/>
    <w:rsid w:val="004B6560"/>
    <w:rsid w:val="004B6863"/>
    <w:rsid w:val="004C75A3"/>
    <w:rsid w:val="004D07D5"/>
    <w:rsid w:val="004E0345"/>
    <w:rsid w:val="004E50CB"/>
    <w:rsid w:val="004E71E7"/>
    <w:rsid w:val="004F0E66"/>
    <w:rsid w:val="004F19D5"/>
    <w:rsid w:val="004F1EFC"/>
    <w:rsid w:val="004F3B67"/>
    <w:rsid w:val="004F7823"/>
    <w:rsid w:val="005044C9"/>
    <w:rsid w:val="00516F38"/>
    <w:rsid w:val="00522185"/>
    <w:rsid w:val="00540387"/>
    <w:rsid w:val="005472F8"/>
    <w:rsid w:val="00547F50"/>
    <w:rsid w:val="00555F51"/>
    <w:rsid w:val="00563809"/>
    <w:rsid w:val="00563922"/>
    <w:rsid w:val="00576EB3"/>
    <w:rsid w:val="0058098A"/>
    <w:rsid w:val="00584C57"/>
    <w:rsid w:val="00590EA6"/>
    <w:rsid w:val="005C024A"/>
    <w:rsid w:val="005C1D04"/>
    <w:rsid w:val="005C2614"/>
    <w:rsid w:val="005C3E11"/>
    <w:rsid w:val="005C4734"/>
    <w:rsid w:val="005C4F95"/>
    <w:rsid w:val="005D3C89"/>
    <w:rsid w:val="005D47FA"/>
    <w:rsid w:val="005D580A"/>
    <w:rsid w:val="005D7C84"/>
    <w:rsid w:val="005F3A9D"/>
    <w:rsid w:val="005F66FC"/>
    <w:rsid w:val="0060279D"/>
    <w:rsid w:val="00615A49"/>
    <w:rsid w:val="006225F5"/>
    <w:rsid w:val="00622FE5"/>
    <w:rsid w:val="00630D1F"/>
    <w:rsid w:val="00646F0C"/>
    <w:rsid w:val="006513D0"/>
    <w:rsid w:val="00667BBB"/>
    <w:rsid w:val="006727C9"/>
    <w:rsid w:val="00673DB7"/>
    <w:rsid w:val="00676361"/>
    <w:rsid w:val="0068566C"/>
    <w:rsid w:val="00686654"/>
    <w:rsid w:val="00691F7E"/>
    <w:rsid w:val="006B001D"/>
    <w:rsid w:val="006B1C1C"/>
    <w:rsid w:val="006B3529"/>
    <w:rsid w:val="006B3FDE"/>
    <w:rsid w:val="006B41FE"/>
    <w:rsid w:val="006B5C34"/>
    <w:rsid w:val="006B5DC2"/>
    <w:rsid w:val="006C5390"/>
    <w:rsid w:val="006C68AA"/>
    <w:rsid w:val="006C6B14"/>
    <w:rsid w:val="006D3582"/>
    <w:rsid w:val="006D68DE"/>
    <w:rsid w:val="006E06F2"/>
    <w:rsid w:val="006E0A10"/>
    <w:rsid w:val="006E5FB5"/>
    <w:rsid w:val="006F48AA"/>
    <w:rsid w:val="007008F3"/>
    <w:rsid w:val="0071038F"/>
    <w:rsid w:val="00710B47"/>
    <w:rsid w:val="00716A3A"/>
    <w:rsid w:val="00723E87"/>
    <w:rsid w:val="007248E1"/>
    <w:rsid w:val="00724E9B"/>
    <w:rsid w:val="007330B6"/>
    <w:rsid w:val="007338A7"/>
    <w:rsid w:val="00733F6D"/>
    <w:rsid w:val="00736A3C"/>
    <w:rsid w:val="00736D37"/>
    <w:rsid w:val="00737816"/>
    <w:rsid w:val="007422F4"/>
    <w:rsid w:val="007423B1"/>
    <w:rsid w:val="00746262"/>
    <w:rsid w:val="007546A7"/>
    <w:rsid w:val="007646F3"/>
    <w:rsid w:val="00766027"/>
    <w:rsid w:val="00766064"/>
    <w:rsid w:val="00767857"/>
    <w:rsid w:val="00770E1F"/>
    <w:rsid w:val="00772122"/>
    <w:rsid w:val="0077640B"/>
    <w:rsid w:val="00780766"/>
    <w:rsid w:val="0078184C"/>
    <w:rsid w:val="00781BAF"/>
    <w:rsid w:val="00782F76"/>
    <w:rsid w:val="007955D5"/>
    <w:rsid w:val="007A1E5A"/>
    <w:rsid w:val="007A7924"/>
    <w:rsid w:val="007A7CF3"/>
    <w:rsid w:val="007C7900"/>
    <w:rsid w:val="007D72F2"/>
    <w:rsid w:val="007F3F15"/>
    <w:rsid w:val="007F6003"/>
    <w:rsid w:val="00811D1B"/>
    <w:rsid w:val="00814944"/>
    <w:rsid w:val="008437BD"/>
    <w:rsid w:val="0085295E"/>
    <w:rsid w:val="008616EA"/>
    <w:rsid w:val="00865C87"/>
    <w:rsid w:val="0086763C"/>
    <w:rsid w:val="00876C39"/>
    <w:rsid w:val="00881712"/>
    <w:rsid w:val="00881C88"/>
    <w:rsid w:val="008824C1"/>
    <w:rsid w:val="008B24B0"/>
    <w:rsid w:val="008D0D37"/>
    <w:rsid w:val="008D1400"/>
    <w:rsid w:val="008D428D"/>
    <w:rsid w:val="008D4D59"/>
    <w:rsid w:val="008D5B84"/>
    <w:rsid w:val="008E0A85"/>
    <w:rsid w:val="008E1C61"/>
    <w:rsid w:val="008F0C18"/>
    <w:rsid w:val="008F5281"/>
    <w:rsid w:val="008F7395"/>
    <w:rsid w:val="009003B0"/>
    <w:rsid w:val="00901C59"/>
    <w:rsid w:val="009053E9"/>
    <w:rsid w:val="009057AB"/>
    <w:rsid w:val="009065BB"/>
    <w:rsid w:val="00911EEC"/>
    <w:rsid w:val="009121D5"/>
    <w:rsid w:val="009308FD"/>
    <w:rsid w:val="00945933"/>
    <w:rsid w:val="00945C8D"/>
    <w:rsid w:val="0094648A"/>
    <w:rsid w:val="00956371"/>
    <w:rsid w:val="00974619"/>
    <w:rsid w:val="009746C3"/>
    <w:rsid w:val="0097552F"/>
    <w:rsid w:val="00976C33"/>
    <w:rsid w:val="00990CF3"/>
    <w:rsid w:val="00990E2B"/>
    <w:rsid w:val="009A07C4"/>
    <w:rsid w:val="009A1039"/>
    <w:rsid w:val="009A3596"/>
    <w:rsid w:val="009A366E"/>
    <w:rsid w:val="009A6888"/>
    <w:rsid w:val="009A7178"/>
    <w:rsid w:val="009B60F5"/>
    <w:rsid w:val="009C64E0"/>
    <w:rsid w:val="009D0855"/>
    <w:rsid w:val="009D0E5F"/>
    <w:rsid w:val="009E2864"/>
    <w:rsid w:val="009E7B85"/>
    <w:rsid w:val="009F5F8B"/>
    <w:rsid w:val="00A042BC"/>
    <w:rsid w:val="00A14EA0"/>
    <w:rsid w:val="00A1600A"/>
    <w:rsid w:val="00A30A42"/>
    <w:rsid w:val="00A32B78"/>
    <w:rsid w:val="00A37280"/>
    <w:rsid w:val="00A43738"/>
    <w:rsid w:val="00A46DF7"/>
    <w:rsid w:val="00A519A0"/>
    <w:rsid w:val="00A65277"/>
    <w:rsid w:val="00A65DA0"/>
    <w:rsid w:val="00A66115"/>
    <w:rsid w:val="00A7339F"/>
    <w:rsid w:val="00A7473B"/>
    <w:rsid w:val="00A779AB"/>
    <w:rsid w:val="00A77DEB"/>
    <w:rsid w:val="00A84E55"/>
    <w:rsid w:val="00A860BC"/>
    <w:rsid w:val="00A9393C"/>
    <w:rsid w:val="00A95A6A"/>
    <w:rsid w:val="00AA5CDD"/>
    <w:rsid w:val="00AB1E60"/>
    <w:rsid w:val="00AC2A2A"/>
    <w:rsid w:val="00AC3E13"/>
    <w:rsid w:val="00AE50F8"/>
    <w:rsid w:val="00AF10F5"/>
    <w:rsid w:val="00AF1392"/>
    <w:rsid w:val="00AF47CE"/>
    <w:rsid w:val="00B05999"/>
    <w:rsid w:val="00B10676"/>
    <w:rsid w:val="00B12610"/>
    <w:rsid w:val="00B20A39"/>
    <w:rsid w:val="00B20B17"/>
    <w:rsid w:val="00B20B94"/>
    <w:rsid w:val="00B21640"/>
    <w:rsid w:val="00B26314"/>
    <w:rsid w:val="00B279B3"/>
    <w:rsid w:val="00B503C2"/>
    <w:rsid w:val="00B54FFD"/>
    <w:rsid w:val="00B621A3"/>
    <w:rsid w:val="00B64126"/>
    <w:rsid w:val="00B86CE0"/>
    <w:rsid w:val="00B941D1"/>
    <w:rsid w:val="00B944D7"/>
    <w:rsid w:val="00B95881"/>
    <w:rsid w:val="00B960A5"/>
    <w:rsid w:val="00BA0B72"/>
    <w:rsid w:val="00BA5AD5"/>
    <w:rsid w:val="00BA7488"/>
    <w:rsid w:val="00BA7F5D"/>
    <w:rsid w:val="00BB1B8E"/>
    <w:rsid w:val="00BB4ED6"/>
    <w:rsid w:val="00BC4472"/>
    <w:rsid w:val="00BC452C"/>
    <w:rsid w:val="00BD7F48"/>
    <w:rsid w:val="00BE2337"/>
    <w:rsid w:val="00BE6B01"/>
    <w:rsid w:val="00BF09B4"/>
    <w:rsid w:val="00BF208D"/>
    <w:rsid w:val="00BF3E4F"/>
    <w:rsid w:val="00C04D5C"/>
    <w:rsid w:val="00C04FFC"/>
    <w:rsid w:val="00C1022E"/>
    <w:rsid w:val="00C12419"/>
    <w:rsid w:val="00C144C2"/>
    <w:rsid w:val="00C149E7"/>
    <w:rsid w:val="00C30E33"/>
    <w:rsid w:val="00C36448"/>
    <w:rsid w:val="00C36BA1"/>
    <w:rsid w:val="00C41BF2"/>
    <w:rsid w:val="00C4305D"/>
    <w:rsid w:val="00C51AEA"/>
    <w:rsid w:val="00C533B8"/>
    <w:rsid w:val="00C53C39"/>
    <w:rsid w:val="00C565CD"/>
    <w:rsid w:val="00C67331"/>
    <w:rsid w:val="00C67502"/>
    <w:rsid w:val="00C704DB"/>
    <w:rsid w:val="00C728FA"/>
    <w:rsid w:val="00C72995"/>
    <w:rsid w:val="00C80124"/>
    <w:rsid w:val="00C84286"/>
    <w:rsid w:val="00C933C0"/>
    <w:rsid w:val="00C95E49"/>
    <w:rsid w:val="00CA2210"/>
    <w:rsid w:val="00CA5DF8"/>
    <w:rsid w:val="00CB6D54"/>
    <w:rsid w:val="00CC123A"/>
    <w:rsid w:val="00CC4DC1"/>
    <w:rsid w:val="00CC599E"/>
    <w:rsid w:val="00CC7C02"/>
    <w:rsid w:val="00CD1857"/>
    <w:rsid w:val="00CD5FF6"/>
    <w:rsid w:val="00CF3B87"/>
    <w:rsid w:val="00CF3F8C"/>
    <w:rsid w:val="00D079B3"/>
    <w:rsid w:val="00D134CF"/>
    <w:rsid w:val="00D1779D"/>
    <w:rsid w:val="00D24E74"/>
    <w:rsid w:val="00D32234"/>
    <w:rsid w:val="00D35811"/>
    <w:rsid w:val="00D36EF4"/>
    <w:rsid w:val="00D56AEA"/>
    <w:rsid w:val="00D57003"/>
    <w:rsid w:val="00D6470F"/>
    <w:rsid w:val="00D65480"/>
    <w:rsid w:val="00D6617C"/>
    <w:rsid w:val="00D72407"/>
    <w:rsid w:val="00D913E4"/>
    <w:rsid w:val="00D938A9"/>
    <w:rsid w:val="00DA0775"/>
    <w:rsid w:val="00DA7039"/>
    <w:rsid w:val="00DB013B"/>
    <w:rsid w:val="00DC1B6B"/>
    <w:rsid w:val="00DC1FBC"/>
    <w:rsid w:val="00DC25D7"/>
    <w:rsid w:val="00DC5A37"/>
    <w:rsid w:val="00DD6B20"/>
    <w:rsid w:val="00DE32BC"/>
    <w:rsid w:val="00DE57C6"/>
    <w:rsid w:val="00E03A39"/>
    <w:rsid w:val="00E103C9"/>
    <w:rsid w:val="00E176B0"/>
    <w:rsid w:val="00E17BD9"/>
    <w:rsid w:val="00E223B8"/>
    <w:rsid w:val="00E22B00"/>
    <w:rsid w:val="00E360D2"/>
    <w:rsid w:val="00E47F26"/>
    <w:rsid w:val="00E56BE6"/>
    <w:rsid w:val="00E7286D"/>
    <w:rsid w:val="00E7395B"/>
    <w:rsid w:val="00E73E18"/>
    <w:rsid w:val="00E809EE"/>
    <w:rsid w:val="00E80A59"/>
    <w:rsid w:val="00E81688"/>
    <w:rsid w:val="00E91B1B"/>
    <w:rsid w:val="00E9518C"/>
    <w:rsid w:val="00EA2108"/>
    <w:rsid w:val="00EA3A6F"/>
    <w:rsid w:val="00EA5EF9"/>
    <w:rsid w:val="00EB01C4"/>
    <w:rsid w:val="00EB0373"/>
    <w:rsid w:val="00EB3203"/>
    <w:rsid w:val="00ED648C"/>
    <w:rsid w:val="00EE031D"/>
    <w:rsid w:val="00EE2736"/>
    <w:rsid w:val="00EF3250"/>
    <w:rsid w:val="00EF7FC1"/>
    <w:rsid w:val="00F04BA3"/>
    <w:rsid w:val="00F12354"/>
    <w:rsid w:val="00F1307F"/>
    <w:rsid w:val="00F17B94"/>
    <w:rsid w:val="00F2626F"/>
    <w:rsid w:val="00F27128"/>
    <w:rsid w:val="00F309A0"/>
    <w:rsid w:val="00F35F26"/>
    <w:rsid w:val="00F369C9"/>
    <w:rsid w:val="00F3711A"/>
    <w:rsid w:val="00F508A3"/>
    <w:rsid w:val="00F54954"/>
    <w:rsid w:val="00F5718E"/>
    <w:rsid w:val="00F628E2"/>
    <w:rsid w:val="00F65CF8"/>
    <w:rsid w:val="00F6674D"/>
    <w:rsid w:val="00F66D1F"/>
    <w:rsid w:val="00F75C07"/>
    <w:rsid w:val="00F86767"/>
    <w:rsid w:val="00F90D32"/>
    <w:rsid w:val="00FA2072"/>
    <w:rsid w:val="00FA3EC0"/>
    <w:rsid w:val="00FB0D7B"/>
    <w:rsid w:val="00FB205A"/>
    <w:rsid w:val="00FC00BD"/>
    <w:rsid w:val="00FC5CEF"/>
    <w:rsid w:val="00FC6360"/>
    <w:rsid w:val="00FC7424"/>
    <w:rsid w:val="00FE1FD6"/>
    <w:rsid w:val="00FE5D15"/>
    <w:rsid w:val="00FE5E80"/>
    <w:rsid w:val="00FF0B4B"/>
    <w:rsid w:val="00FF5E85"/>
    <w:rsid w:val="00FF6700"/>
    <w:rsid w:val="015F42AA"/>
    <w:rsid w:val="01B467F4"/>
    <w:rsid w:val="02007521"/>
    <w:rsid w:val="02137828"/>
    <w:rsid w:val="024D0676"/>
    <w:rsid w:val="02787441"/>
    <w:rsid w:val="02994B1D"/>
    <w:rsid w:val="02A006FE"/>
    <w:rsid w:val="02C240E6"/>
    <w:rsid w:val="02D77D4E"/>
    <w:rsid w:val="032127C3"/>
    <w:rsid w:val="03790C6B"/>
    <w:rsid w:val="042E7320"/>
    <w:rsid w:val="0447444A"/>
    <w:rsid w:val="04F71217"/>
    <w:rsid w:val="07427738"/>
    <w:rsid w:val="07753FDD"/>
    <w:rsid w:val="078831D8"/>
    <w:rsid w:val="084542FA"/>
    <w:rsid w:val="084E3E20"/>
    <w:rsid w:val="09A55FD0"/>
    <w:rsid w:val="0A007290"/>
    <w:rsid w:val="0A442735"/>
    <w:rsid w:val="0AD42205"/>
    <w:rsid w:val="0B1C467F"/>
    <w:rsid w:val="0BD0587A"/>
    <w:rsid w:val="0C0D1BA9"/>
    <w:rsid w:val="0C8D20A5"/>
    <w:rsid w:val="0D153A06"/>
    <w:rsid w:val="0E7A0401"/>
    <w:rsid w:val="0ECD1D03"/>
    <w:rsid w:val="0F0964A2"/>
    <w:rsid w:val="0FBE24AD"/>
    <w:rsid w:val="10561740"/>
    <w:rsid w:val="117E5118"/>
    <w:rsid w:val="118A52CC"/>
    <w:rsid w:val="11944A12"/>
    <w:rsid w:val="125E59FF"/>
    <w:rsid w:val="127D5895"/>
    <w:rsid w:val="12874965"/>
    <w:rsid w:val="128A3BE3"/>
    <w:rsid w:val="12B8460E"/>
    <w:rsid w:val="136223FC"/>
    <w:rsid w:val="138B2901"/>
    <w:rsid w:val="145A008B"/>
    <w:rsid w:val="14D106BF"/>
    <w:rsid w:val="159F1F19"/>
    <w:rsid w:val="15E520B5"/>
    <w:rsid w:val="166D3745"/>
    <w:rsid w:val="16745C15"/>
    <w:rsid w:val="16A600A2"/>
    <w:rsid w:val="17110412"/>
    <w:rsid w:val="173F59CC"/>
    <w:rsid w:val="190B0338"/>
    <w:rsid w:val="192E0B6D"/>
    <w:rsid w:val="19F71A3A"/>
    <w:rsid w:val="1A411EDC"/>
    <w:rsid w:val="1A6243C7"/>
    <w:rsid w:val="1BD15ED5"/>
    <w:rsid w:val="1C1C1DAA"/>
    <w:rsid w:val="1C406562"/>
    <w:rsid w:val="1CAE49E2"/>
    <w:rsid w:val="1D1A175E"/>
    <w:rsid w:val="1D2F4804"/>
    <w:rsid w:val="1DE7050A"/>
    <w:rsid w:val="1DF74CB4"/>
    <w:rsid w:val="1DFC7EDD"/>
    <w:rsid w:val="1FE95AE5"/>
    <w:rsid w:val="20531BCC"/>
    <w:rsid w:val="20C016EA"/>
    <w:rsid w:val="213B67C9"/>
    <w:rsid w:val="22305A9D"/>
    <w:rsid w:val="223A1202"/>
    <w:rsid w:val="226256C6"/>
    <w:rsid w:val="230D748A"/>
    <w:rsid w:val="23111139"/>
    <w:rsid w:val="234614A8"/>
    <w:rsid w:val="237A4D0D"/>
    <w:rsid w:val="23A43BE8"/>
    <w:rsid w:val="240406C5"/>
    <w:rsid w:val="25904C7A"/>
    <w:rsid w:val="25F53E0E"/>
    <w:rsid w:val="26523FF3"/>
    <w:rsid w:val="27695BAC"/>
    <w:rsid w:val="29436AFA"/>
    <w:rsid w:val="2953024B"/>
    <w:rsid w:val="29814903"/>
    <w:rsid w:val="298A73CB"/>
    <w:rsid w:val="2A3C53FE"/>
    <w:rsid w:val="2AA97E89"/>
    <w:rsid w:val="2BAA78E0"/>
    <w:rsid w:val="2BDE56D4"/>
    <w:rsid w:val="2C494A83"/>
    <w:rsid w:val="2D335E5A"/>
    <w:rsid w:val="2DD248B4"/>
    <w:rsid w:val="2DE735DA"/>
    <w:rsid w:val="2DE91FBC"/>
    <w:rsid w:val="2F11503A"/>
    <w:rsid w:val="2F306285"/>
    <w:rsid w:val="2F932390"/>
    <w:rsid w:val="2F965E50"/>
    <w:rsid w:val="30A160B8"/>
    <w:rsid w:val="30DA6FCF"/>
    <w:rsid w:val="3178441F"/>
    <w:rsid w:val="31EE665F"/>
    <w:rsid w:val="33562E2C"/>
    <w:rsid w:val="343E5CD9"/>
    <w:rsid w:val="344F346B"/>
    <w:rsid w:val="346B23F8"/>
    <w:rsid w:val="34FC618A"/>
    <w:rsid w:val="36226EB2"/>
    <w:rsid w:val="36722878"/>
    <w:rsid w:val="368B3C31"/>
    <w:rsid w:val="370D5BD6"/>
    <w:rsid w:val="37B02B4F"/>
    <w:rsid w:val="37CC7617"/>
    <w:rsid w:val="38052593"/>
    <w:rsid w:val="3818226B"/>
    <w:rsid w:val="38821609"/>
    <w:rsid w:val="38922CEA"/>
    <w:rsid w:val="38CD1795"/>
    <w:rsid w:val="38D139DF"/>
    <w:rsid w:val="38FE771C"/>
    <w:rsid w:val="39202067"/>
    <w:rsid w:val="39C2618E"/>
    <w:rsid w:val="3AC3488C"/>
    <w:rsid w:val="3B4F18EC"/>
    <w:rsid w:val="3B71073B"/>
    <w:rsid w:val="3C0F1452"/>
    <w:rsid w:val="3CA00304"/>
    <w:rsid w:val="3CBE0561"/>
    <w:rsid w:val="3DB20960"/>
    <w:rsid w:val="3DC54BBF"/>
    <w:rsid w:val="3E0B2F6A"/>
    <w:rsid w:val="3E652710"/>
    <w:rsid w:val="3FC06F7B"/>
    <w:rsid w:val="40666717"/>
    <w:rsid w:val="408D0511"/>
    <w:rsid w:val="40F652E4"/>
    <w:rsid w:val="420571D3"/>
    <w:rsid w:val="42984830"/>
    <w:rsid w:val="42BC0792"/>
    <w:rsid w:val="432B228F"/>
    <w:rsid w:val="452C1B0C"/>
    <w:rsid w:val="459C1711"/>
    <w:rsid w:val="46EB1B81"/>
    <w:rsid w:val="48561474"/>
    <w:rsid w:val="48C96D60"/>
    <w:rsid w:val="490A0F69"/>
    <w:rsid w:val="493E20A1"/>
    <w:rsid w:val="4943031D"/>
    <w:rsid w:val="49BE4555"/>
    <w:rsid w:val="49CC1782"/>
    <w:rsid w:val="49EC50B9"/>
    <w:rsid w:val="4AAE5541"/>
    <w:rsid w:val="4C3B3BAC"/>
    <w:rsid w:val="4CCC0197"/>
    <w:rsid w:val="4CE81B43"/>
    <w:rsid w:val="4D461335"/>
    <w:rsid w:val="4E8C1A0C"/>
    <w:rsid w:val="4F0F6DFC"/>
    <w:rsid w:val="4F500728"/>
    <w:rsid w:val="4F654AE4"/>
    <w:rsid w:val="4FBE0253"/>
    <w:rsid w:val="4FD34563"/>
    <w:rsid w:val="50AC4AA7"/>
    <w:rsid w:val="51804AE3"/>
    <w:rsid w:val="52A53B83"/>
    <w:rsid w:val="52F82F9A"/>
    <w:rsid w:val="52FA03A1"/>
    <w:rsid w:val="5301300E"/>
    <w:rsid w:val="53210337"/>
    <w:rsid w:val="535F2E45"/>
    <w:rsid w:val="53C0522E"/>
    <w:rsid w:val="54355411"/>
    <w:rsid w:val="54B67784"/>
    <w:rsid w:val="55D372C7"/>
    <w:rsid w:val="56007EE1"/>
    <w:rsid w:val="56340743"/>
    <w:rsid w:val="56F22D14"/>
    <w:rsid w:val="57226D8B"/>
    <w:rsid w:val="578A3EEB"/>
    <w:rsid w:val="57A1203B"/>
    <w:rsid w:val="57B54837"/>
    <w:rsid w:val="58BE75FA"/>
    <w:rsid w:val="58D632BA"/>
    <w:rsid w:val="59150FB8"/>
    <w:rsid w:val="595475BE"/>
    <w:rsid w:val="5A04334C"/>
    <w:rsid w:val="5A1C7CA7"/>
    <w:rsid w:val="5A230F78"/>
    <w:rsid w:val="5C4F272B"/>
    <w:rsid w:val="5CBB1E65"/>
    <w:rsid w:val="5CCD2C44"/>
    <w:rsid w:val="5D0E17C1"/>
    <w:rsid w:val="5D7434EE"/>
    <w:rsid w:val="5DBB30FF"/>
    <w:rsid w:val="5DED5056"/>
    <w:rsid w:val="5E4C6E9E"/>
    <w:rsid w:val="5E650103"/>
    <w:rsid w:val="5F2920B0"/>
    <w:rsid w:val="5FB942DC"/>
    <w:rsid w:val="5FC5111D"/>
    <w:rsid w:val="60321764"/>
    <w:rsid w:val="61334A51"/>
    <w:rsid w:val="623C1333"/>
    <w:rsid w:val="62A11DBD"/>
    <w:rsid w:val="630B3696"/>
    <w:rsid w:val="631F247B"/>
    <w:rsid w:val="63233DA0"/>
    <w:rsid w:val="646E6DA4"/>
    <w:rsid w:val="65AC2EC3"/>
    <w:rsid w:val="65D275B2"/>
    <w:rsid w:val="66B80DFA"/>
    <w:rsid w:val="6740375A"/>
    <w:rsid w:val="67492CD0"/>
    <w:rsid w:val="674A719B"/>
    <w:rsid w:val="67A61B2F"/>
    <w:rsid w:val="67D952B6"/>
    <w:rsid w:val="68134B2F"/>
    <w:rsid w:val="686F0963"/>
    <w:rsid w:val="68A15F0F"/>
    <w:rsid w:val="68E2148B"/>
    <w:rsid w:val="6A254DB6"/>
    <w:rsid w:val="6AE260E5"/>
    <w:rsid w:val="6C4B36E0"/>
    <w:rsid w:val="6C5D4B9D"/>
    <w:rsid w:val="6D1243DC"/>
    <w:rsid w:val="6D4B1C82"/>
    <w:rsid w:val="6D4D4F2D"/>
    <w:rsid w:val="6DEB4A28"/>
    <w:rsid w:val="6E394006"/>
    <w:rsid w:val="6EFA3B44"/>
    <w:rsid w:val="6F7D7C08"/>
    <w:rsid w:val="71F06965"/>
    <w:rsid w:val="7238648F"/>
    <w:rsid w:val="72695E61"/>
    <w:rsid w:val="72AC5BF3"/>
    <w:rsid w:val="73032480"/>
    <w:rsid w:val="739C37A0"/>
    <w:rsid w:val="73FB3007"/>
    <w:rsid w:val="743C085D"/>
    <w:rsid w:val="7469095C"/>
    <w:rsid w:val="74A56F63"/>
    <w:rsid w:val="74CF0E22"/>
    <w:rsid w:val="75FA3842"/>
    <w:rsid w:val="76980290"/>
    <w:rsid w:val="77A87CE4"/>
    <w:rsid w:val="78115C59"/>
    <w:rsid w:val="78D17CDF"/>
    <w:rsid w:val="78E53455"/>
    <w:rsid w:val="79513F74"/>
    <w:rsid w:val="79671EA4"/>
    <w:rsid w:val="7B431543"/>
    <w:rsid w:val="7B870FA5"/>
    <w:rsid w:val="7BD72FD1"/>
    <w:rsid w:val="7BDA4E64"/>
    <w:rsid w:val="7CF92270"/>
    <w:rsid w:val="7D2C7EBC"/>
    <w:rsid w:val="7D6119E5"/>
    <w:rsid w:val="7DB10E8A"/>
    <w:rsid w:val="7DCD6F4E"/>
    <w:rsid w:val="7E421307"/>
    <w:rsid w:val="7F511370"/>
    <w:rsid w:val="7F8C4D84"/>
    <w:rsid w:val="7FB758A0"/>
    <w:rsid w:val="7FD62E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paragraph" w:styleId="4">
    <w:name w:val="heading 1"/>
    <w:basedOn w:val="1"/>
    <w:next w:val="1"/>
    <w:link w:val="21"/>
    <w:qFormat/>
    <w:uiPriority w:val="9"/>
    <w:pPr>
      <w:keepNext/>
      <w:keepLines/>
      <w:spacing w:line="578" w:lineRule="auto"/>
      <w:ind w:firstLine="0" w:firstLineChars="0"/>
      <w:outlineLvl w:val="0"/>
    </w:pPr>
    <w:rPr>
      <w:b/>
      <w:bCs/>
      <w:kern w:val="44"/>
      <w:sz w:val="30"/>
      <w:szCs w:val="44"/>
    </w:rPr>
  </w:style>
  <w:style w:type="paragraph" w:styleId="5">
    <w:name w:val="heading 2"/>
    <w:basedOn w:val="1"/>
    <w:next w:val="1"/>
    <w:link w:val="22"/>
    <w:unhideWhenUsed/>
    <w:qFormat/>
    <w:uiPriority w:val="9"/>
    <w:pPr>
      <w:keepNext/>
      <w:keepLines/>
      <w:spacing w:line="416" w:lineRule="auto"/>
      <w:outlineLvl w:val="1"/>
    </w:pPr>
    <w:rPr>
      <w:rFonts w:asciiTheme="majorHAnsi" w:hAnsiTheme="majorHAnsi" w:cstheme="majorBidi"/>
      <w:b/>
      <w:bCs/>
      <w:szCs w:val="32"/>
    </w:rPr>
  </w:style>
  <w:style w:type="paragraph" w:styleId="6">
    <w:name w:val="heading 3"/>
    <w:basedOn w:val="1"/>
    <w:next w:val="1"/>
    <w:link w:val="23"/>
    <w:unhideWhenUsed/>
    <w:qFormat/>
    <w:uiPriority w:val="9"/>
    <w:pPr>
      <w:keepNext/>
      <w:keepLines/>
      <w:spacing w:line="416" w:lineRule="auto"/>
      <w:outlineLvl w:val="2"/>
    </w:pPr>
    <w:rPr>
      <w:bCs/>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0"/>
  </w:style>
  <w:style w:type="paragraph" w:styleId="3">
    <w:name w:val="Body Text Indent"/>
    <w:basedOn w:val="1"/>
    <w:link w:val="27"/>
    <w:unhideWhenUsed/>
    <w:qFormat/>
    <w:uiPriority w:val="0"/>
    <w:pPr>
      <w:spacing w:after="120"/>
      <w:ind w:left="200" w:leftChars="200"/>
    </w:pPr>
    <w:rPr>
      <w:sz w:val="21"/>
    </w:rPr>
  </w:style>
  <w:style w:type="paragraph" w:styleId="7">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8">
    <w:name w:val="Balloon Text"/>
    <w:basedOn w:val="1"/>
    <w:link w:val="26"/>
    <w:semiHidden/>
    <w:unhideWhenUsed/>
    <w:qFormat/>
    <w:uiPriority w:val="99"/>
    <w:pPr>
      <w:spacing w:line="240" w:lineRule="auto"/>
    </w:pPr>
    <w:rPr>
      <w:sz w:val="18"/>
      <w:szCs w:val="18"/>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296"/>
      </w:tabs>
      <w:spacing w:after="100" w:line="259" w:lineRule="auto"/>
      <w:ind w:firstLine="0" w:firstLineChars="0"/>
      <w:jc w:val="left"/>
    </w:pPr>
    <w:rPr>
      <w:rFonts w:ascii="宋体" w:hAnsi="宋体" w:cs="Times New Roman"/>
      <w:b/>
      <w:bCs/>
      <w:kern w:val="0"/>
      <w:sz w:val="28"/>
      <w:szCs w:val="28"/>
    </w:rPr>
  </w:style>
  <w:style w:type="paragraph" w:styleId="12">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Cs w:val="24"/>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basedOn w:val="16"/>
    <w:qFormat/>
    <w:uiPriority w:val="20"/>
    <w:rPr>
      <w:i/>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customStyle="1" w:styleId="19">
    <w:name w:val="页眉 字符"/>
    <w:basedOn w:val="16"/>
    <w:link w:val="10"/>
    <w:qFormat/>
    <w:uiPriority w:val="99"/>
    <w:rPr>
      <w:sz w:val="18"/>
      <w:szCs w:val="18"/>
    </w:rPr>
  </w:style>
  <w:style w:type="character" w:customStyle="1" w:styleId="20">
    <w:name w:val="页脚 字符"/>
    <w:basedOn w:val="16"/>
    <w:link w:val="9"/>
    <w:qFormat/>
    <w:uiPriority w:val="99"/>
    <w:rPr>
      <w:sz w:val="18"/>
      <w:szCs w:val="18"/>
    </w:rPr>
  </w:style>
  <w:style w:type="character" w:customStyle="1" w:styleId="21">
    <w:name w:val="标题 1 字符"/>
    <w:basedOn w:val="16"/>
    <w:link w:val="4"/>
    <w:qFormat/>
    <w:uiPriority w:val="9"/>
    <w:rPr>
      <w:rFonts w:eastAsia="宋体"/>
      <w:b/>
      <w:bCs/>
      <w:kern w:val="44"/>
      <w:sz w:val="30"/>
      <w:szCs w:val="44"/>
    </w:rPr>
  </w:style>
  <w:style w:type="character" w:customStyle="1" w:styleId="22">
    <w:name w:val="标题 2 字符"/>
    <w:basedOn w:val="16"/>
    <w:link w:val="5"/>
    <w:qFormat/>
    <w:uiPriority w:val="9"/>
    <w:rPr>
      <w:rFonts w:eastAsia="宋体" w:asciiTheme="majorHAnsi" w:hAnsiTheme="majorHAnsi" w:cstheme="majorBidi"/>
      <w:b/>
      <w:bCs/>
      <w:sz w:val="24"/>
      <w:szCs w:val="32"/>
    </w:rPr>
  </w:style>
  <w:style w:type="character" w:customStyle="1" w:styleId="23">
    <w:name w:val="标题 3 字符"/>
    <w:basedOn w:val="16"/>
    <w:link w:val="6"/>
    <w:qFormat/>
    <w:uiPriority w:val="9"/>
    <w:rPr>
      <w:rFonts w:eastAsia="宋体"/>
      <w:bCs/>
      <w:sz w:val="24"/>
      <w:szCs w:val="32"/>
    </w:rPr>
  </w:style>
  <w:style w:type="paragraph" w:customStyle="1" w:styleId="24">
    <w:name w:val="TOC 标题1"/>
    <w:basedOn w:val="4"/>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5">
    <w:name w:val="TOC 标题2"/>
    <w:basedOn w:val="4"/>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6">
    <w:name w:val="批注框文本 字符"/>
    <w:basedOn w:val="16"/>
    <w:link w:val="8"/>
    <w:semiHidden/>
    <w:qFormat/>
    <w:uiPriority w:val="99"/>
    <w:rPr>
      <w:rFonts w:asciiTheme="minorHAnsi" w:hAnsiTheme="minorHAnsi" w:cstheme="minorBidi"/>
      <w:kern w:val="2"/>
      <w:sz w:val="18"/>
      <w:szCs w:val="18"/>
    </w:rPr>
  </w:style>
  <w:style w:type="character" w:customStyle="1" w:styleId="27">
    <w:name w:val="正文文本缩进 字符"/>
    <w:basedOn w:val="16"/>
    <w:link w:val="3"/>
    <w:uiPriority w:val="0"/>
    <w:rPr>
      <w:rFonts w:hint="eastAsia" w:ascii="等线" w:hAnsi="等线" w:eastAsia="等线" w:cs="Times New Roman"/>
      <w:kern w:val="2"/>
      <w:sz w:val="24"/>
      <w:szCs w:val="22"/>
    </w:rPr>
  </w:style>
  <w:style w:type="character" w:customStyle="1" w:styleId="28">
    <w:name w:val="正文文本首行缩进 2 字符"/>
    <w:basedOn w:val="27"/>
    <w:qFormat/>
    <w:uiPriority w:val="0"/>
    <w:rPr>
      <w:rFonts w:hint="eastAsia" w:ascii="等线" w:hAnsi="等线" w:eastAsia="等线" w:cs="Times New Roman"/>
      <w:kern w:val="2"/>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A7042-DE98-4EA1-8B9C-ACE25667B621}">
  <ds:schemaRefs/>
</ds:datastoreItem>
</file>

<file path=docProps/app.xml><?xml version="1.0" encoding="utf-8"?>
<Properties xmlns="http://schemas.openxmlformats.org/officeDocument/2006/extended-properties" xmlns:vt="http://schemas.openxmlformats.org/officeDocument/2006/docPropsVTypes">
  <Template>Normal.dotm</Template>
  <Company>BD</Company>
  <Pages>26</Pages>
  <Words>7977</Words>
  <Characters>8682</Characters>
  <Lines>28</Lines>
  <Paragraphs>22</Paragraphs>
  <TotalTime>1</TotalTime>
  <ScaleCrop>false</ScaleCrop>
  <LinksUpToDate>false</LinksUpToDate>
  <CharactersWithSpaces>8900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2022-09-20T09:22:00Z</dcterms:created>
  <dc:creator>1250203423@qq.com</dc:creator>
  <cp:lastModifiedBy>林晨</cp:lastModifiedBy>
  <cp:lastPrinted>2021-04-08T15:33:00Z</cp:lastPrinted>
  <dcterms:modified xsi:type="dcterms:W3CDTF">2022-09-28T01:30:19Z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F099D4F9AD9A420F92EE1EAAFE57EB43</vt:lpwstr>
  </property>
</Properties>
</file>