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Style w:val="5"/>
        <w:jc w:val="center"/>
        <w:rPr>
          <w:rFonts w:ascii="Times New Roman" w:hAnsi="Times New Roman" w:eastAsia="宋体" w:cs="Times New Roman"/>
        </w:rPr>
      </w:pPr>
      <w:r>
        <w:rPr>
          <w:rFonts w:ascii="Times New Roman" w:hAnsi="Times New Roman" w:eastAsia="宋体" w:cs="Times New Roman"/>
        </w:rPr>
        <w:t>仙游县2022年度第</w:t>
      </w:r>
      <w:r>
        <w:rPr>
          <w:rFonts w:hint="eastAsia" w:ascii="Times New Roman" w:hAnsi="Times New Roman" w:eastAsia="宋体" w:cs="Times New Roman"/>
        </w:rPr>
        <w:t>二十</w:t>
      </w:r>
      <w:r>
        <w:rPr>
          <w:rFonts w:hint="eastAsia" w:ascii="Times New Roman" w:hAnsi="Times New Roman" w:eastAsia="宋体" w:cs="Times New Roman"/>
          <w:lang w:eastAsia="zh-CN"/>
        </w:rPr>
        <w:t>一</w:t>
      </w:r>
      <w:r>
        <w:rPr>
          <w:rFonts w:ascii="Times New Roman" w:hAnsi="Times New Roman" w:eastAsia="宋体" w:cs="Times New Roman"/>
        </w:rPr>
        <w:t>批次土地征收成片开发方案（</w:t>
      </w:r>
      <w:r>
        <w:rPr>
          <w:rFonts w:hint="eastAsia" w:ascii="Times New Roman" w:hAnsi="Times New Roman" w:eastAsia="宋体" w:cs="Times New Roman"/>
          <w:lang w:val="en-US" w:eastAsia="zh-CN"/>
        </w:rPr>
        <w:t>园庄面点产业园</w:t>
      </w:r>
      <w:r>
        <w:rPr>
          <w:rFonts w:ascii="Times New Roman" w:hAnsi="Times New Roman" w:eastAsia="宋体" w:cs="Times New Roman"/>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三五年远景目标纲要》编制《仙游县2022年度第</w:t>
      </w:r>
      <w:r>
        <w:rPr>
          <w:rFonts w:hint="eastAsia" w:ascii="Times New Roman" w:hAnsi="Times New Roman" w:eastAsia="仿宋_GB2312" w:cs="Times New Roman"/>
          <w:kern w:val="0"/>
          <w:sz w:val="31"/>
          <w:szCs w:val="31"/>
          <w:lang w:bidi="ar"/>
        </w:rPr>
        <w:t>二十</w:t>
      </w:r>
      <w:r>
        <w:rPr>
          <w:rFonts w:hint="eastAsia" w:ascii="Times New Roman" w:hAnsi="Times New Roman" w:eastAsia="仿宋_GB2312" w:cs="Times New Roman"/>
          <w:kern w:val="0"/>
          <w:sz w:val="31"/>
          <w:szCs w:val="31"/>
          <w:lang w:eastAsia="zh-CN" w:bidi="ar"/>
        </w:rPr>
        <w:t>一</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val="en-US" w:eastAsia="zh-CN" w:bidi="ar"/>
        </w:rPr>
        <w:t>园庄面点产业园</w:t>
      </w:r>
      <w:r>
        <w:rPr>
          <w:rFonts w:ascii="Times New Roman" w:hAnsi="Times New Roman" w:eastAsia="仿宋_GB2312" w:cs="Times New Roman"/>
          <w:kern w:val="0"/>
          <w:sz w:val="31"/>
          <w:szCs w:val="31"/>
          <w:lang w:bidi="ar"/>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园庄镇塔兜村</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个镇</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村</w:t>
      </w:r>
      <w:r>
        <w:rPr>
          <w:rFonts w:ascii="Times New Roman" w:hAnsi="Times New Roman" w:eastAsia="仿宋_GB2312" w:cs="Times New Roman"/>
          <w:kern w:val="0"/>
          <w:sz w:val="31"/>
          <w:szCs w:val="31"/>
          <w:lang w:bidi="ar"/>
        </w:rPr>
        <w:t>；涉及1个国有单位，不涉及省级和国家级开发区。</w:t>
      </w:r>
    </w:p>
    <w:p>
      <w:pPr>
        <w:adjustRightInd w:val="0"/>
        <w:snapToGrid w:val="0"/>
        <w:spacing w:line="600" w:lineRule="exact"/>
        <w:ind w:firstLine="561"/>
        <w:rPr>
          <w:rFonts w:eastAsia="仿宋_GB2312"/>
          <w:sz w:val="32"/>
          <w:szCs w:val="32"/>
          <w:highlight w:val="none"/>
        </w:rPr>
      </w:pPr>
      <w:r>
        <w:rPr>
          <w:rFonts w:eastAsia="仿宋_GB2312"/>
          <w:sz w:val="32"/>
          <w:szCs w:val="32"/>
          <w:highlight w:val="none"/>
        </w:rPr>
        <w:t>本方案成片开发范围总面积</w:t>
      </w:r>
      <w:r>
        <w:rPr>
          <w:rFonts w:hint="eastAsia" w:eastAsia="仿宋_GB2312"/>
          <w:sz w:val="32"/>
          <w:szCs w:val="32"/>
          <w:highlight w:val="none"/>
          <w:lang w:val="en-US" w:eastAsia="zh-CN"/>
        </w:rPr>
        <w:t>6.2825</w:t>
      </w:r>
      <w:r>
        <w:rPr>
          <w:rFonts w:eastAsia="仿宋_GB2312"/>
          <w:sz w:val="32"/>
          <w:szCs w:val="32"/>
          <w:highlight w:val="none"/>
        </w:rPr>
        <w:t>公顷。其中，农用地</w:t>
      </w:r>
      <w:r>
        <w:rPr>
          <w:rFonts w:hint="eastAsia" w:eastAsia="仿宋_GB2312"/>
          <w:sz w:val="32"/>
          <w:szCs w:val="32"/>
          <w:highlight w:val="none"/>
          <w:lang w:val="en-US" w:eastAsia="zh-CN"/>
        </w:rPr>
        <w:t>3.9644</w:t>
      </w:r>
      <w:r>
        <w:rPr>
          <w:rFonts w:eastAsia="仿宋_GB2312"/>
          <w:sz w:val="32"/>
          <w:szCs w:val="32"/>
          <w:highlight w:val="none"/>
        </w:rPr>
        <w:t>公顷（其中耕地</w:t>
      </w:r>
      <w:r>
        <w:rPr>
          <w:rFonts w:hint="eastAsia" w:eastAsia="仿宋_GB2312"/>
          <w:sz w:val="32"/>
          <w:szCs w:val="32"/>
          <w:highlight w:val="none"/>
          <w:lang w:val="en-US" w:eastAsia="zh-CN"/>
        </w:rPr>
        <w:t>1.3487</w:t>
      </w:r>
      <w:r>
        <w:rPr>
          <w:rFonts w:eastAsia="仿宋_GB2312"/>
          <w:sz w:val="32"/>
          <w:szCs w:val="32"/>
          <w:highlight w:val="none"/>
        </w:rPr>
        <w:t>公顷），建设用地</w:t>
      </w:r>
      <w:r>
        <w:rPr>
          <w:rFonts w:hint="eastAsia" w:eastAsia="仿宋_GB2312"/>
          <w:sz w:val="32"/>
          <w:szCs w:val="32"/>
          <w:highlight w:val="none"/>
          <w:lang w:val="en-US" w:eastAsia="zh-CN"/>
        </w:rPr>
        <w:t>2.3181</w:t>
      </w:r>
      <w:r>
        <w:rPr>
          <w:rFonts w:eastAsia="仿宋_GB2312"/>
          <w:sz w:val="32"/>
          <w:szCs w:val="32"/>
          <w:highlight w:val="none"/>
        </w:rPr>
        <w:t>公顷，</w:t>
      </w:r>
      <w:r>
        <w:rPr>
          <w:rFonts w:hint="eastAsia" w:eastAsia="仿宋_GB2312"/>
          <w:sz w:val="32"/>
          <w:szCs w:val="32"/>
          <w:highlight w:val="none"/>
          <w:lang w:val="en-US" w:eastAsia="zh-CN"/>
        </w:rPr>
        <w:t>不涉及</w:t>
      </w:r>
      <w:r>
        <w:rPr>
          <w:rFonts w:eastAsia="仿宋_GB2312"/>
          <w:sz w:val="32"/>
          <w:szCs w:val="32"/>
          <w:highlight w:val="none"/>
        </w:rPr>
        <w:t>未利用地。</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三、项目的必要性</w:t>
      </w:r>
    </w:p>
    <w:p>
      <w:pPr>
        <w:keepNext/>
        <w:keepLines/>
        <w:pageBreakBefore w:val="0"/>
        <w:widowControl w:val="0"/>
        <w:kinsoku/>
        <w:wordWrap/>
        <w:overflowPunct/>
        <w:topLinePunct w:val="0"/>
        <w:autoSpaceDE/>
        <w:autoSpaceDN/>
        <w:bidi w:val="0"/>
        <w:adjustRightInd/>
        <w:snapToGrid/>
        <w:spacing w:before="120" w:after="120"/>
        <w:ind w:firstLine="602"/>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eastAsia="zh-CN"/>
        </w:rPr>
        <w:t>（一）</w:t>
      </w:r>
      <w:r>
        <w:rPr>
          <w:rFonts w:hint="eastAsia" w:ascii="仿宋" w:hAnsi="仿宋" w:eastAsia="仿宋" w:cs="仿宋"/>
          <w:b/>
          <w:bCs/>
          <w:color w:val="auto"/>
          <w:kern w:val="0"/>
          <w:sz w:val="30"/>
          <w:szCs w:val="30"/>
        </w:rPr>
        <w:t>建设小微产业园</w:t>
      </w:r>
      <w:r>
        <w:rPr>
          <w:rFonts w:hint="eastAsia" w:ascii="仿宋" w:hAnsi="仿宋" w:eastAsia="仿宋" w:cs="仿宋"/>
          <w:b/>
          <w:bCs/>
          <w:color w:val="auto"/>
          <w:kern w:val="0"/>
          <w:sz w:val="30"/>
          <w:szCs w:val="30"/>
          <w:lang w:eastAsia="zh-CN"/>
        </w:rPr>
        <w:t>，</w:t>
      </w:r>
      <w:r>
        <w:rPr>
          <w:rFonts w:hint="eastAsia" w:ascii="仿宋" w:hAnsi="仿宋" w:eastAsia="仿宋" w:cs="仿宋"/>
          <w:b/>
          <w:bCs/>
          <w:color w:val="auto"/>
          <w:kern w:val="0"/>
          <w:sz w:val="30"/>
          <w:szCs w:val="30"/>
        </w:rPr>
        <w:t>提高亩均产出</w:t>
      </w:r>
      <w:r>
        <w:rPr>
          <w:rFonts w:hint="eastAsia" w:ascii="仿宋" w:hAnsi="仿宋" w:eastAsia="仿宋" w:cs="仿宋"/>
          <w:b/>
          <w:bCs/>
          <w:color w:val="auto"/>
          <w:kern w:val="0"/>
          <w:sz w:val="30"/>
          <w:szCs w:val="30"/>
          <w:lang w:eastAsia="zh-CN"/>
        </w:rPr>
        <w:t>，</w:t>
      </w:r>
      <w:r>
        <w:rPr>
          <w:rFonts w:hint="eastAsia" w:ascii="仿宋" w:hAnsi="仿宋" w:eastAsia="仿宋" w:cs="仿宋"/>
          <w:b/>
          <w:bCs/>
          <w:color w:val="auto"/>
          <w:kern w:val="0"/>
          <w:sz w:val="30"/>
          <w:szCs w:val="30"/>
        </w:rPr>
        <w:t>解决发展空间不足</w:t>
      </w:r>
    </w:p>
    <w:p>
      <w:pPr>
        <w:ind w:firstLine="600"/>
        <w:jc w:val="left"/>
        <w:rPr>
          <w:rFonts w:hint="eastAsia" w:ascii="仿宋" w:hAnsi="仿宋" w:eastAsia="仿宋" w:cs="仿宋"/>
          <w:color w:val="auto"/>
          <w:kern w:val="0"/>
          <w:sz w:val="30"/>
          <w:szCs w:val="30"/>
        </w:rPr>
      </w:pPr>
      <w:r>
        <w:rPr>
          <w:rFonts w:hint="eastAsia" w:eastAsia="仿宋_GB2312"/>
          <w:color w:val="auto"/>
          <w:sz w:val="32"/>
          <w:szCs w:val="32"/>
        </w:rPr>
        <w:t>十八大报告提出“支持小微企业发展”，“促进创新资源高效配置和综合集成，把全社会智慧和力量凝聚到创新发展上来”。小微企业园作为企业集聚、产业集群、要素集约、服务集中的重要载体和抓手，使其能够以低成本、高效率融入市场、投资创业、发展壮大。长期以来，我县小微企业发展存在缺空间、缺规范、缺服务、缺要素等突出问题，“小散乱”现象较明显，新形势下，加快小微企业高质量发展迫在眉睫。</w:t>
      </w:r>
      <w:r>
        <w:rPr>
          <w:rFonts w:hint="eastAsia"/>
          <w:color w:val="auto"/>
          <w:sz w:val="32"/>
          <w:szCs w:val="32"/>
          <w:lang w:eastAsia="zh-CN"/>
        </w:rPr>
        <w:t>本次成片开发</w:t>
      </w:r>
      <w:r>
        <w:rPr>
          <w:rFonts w:hint="eastAsia" w:eastAsia="仿宋_GB2312"/>
          <w:color w:val="auto"/>
          <w:sz w:val="32"/>
          <w:szCs w:val="32"/>
        </w:rPr>
        <w:t>通过规划引领、政策创新、模式优化、环境营造，</w:t>
      </w:r>
      <w:r>
        <w:rPr>
          <w:rFonts w:hint="eastAsia"/>
          <w:color w:val="auto"/>
          <w:sz w:val="32"/>
          <w:szCs w:val="32"/>
          <w:lang w:eastAsia="zh-CN"/>
        </w:rPr>
        <w:t>建设园庄面点产业园，</w:t>
      </w:r>
      <w:r>
        <w:rPr>
          <w:rFonts w:hint="eastAsia" w:eastAsia="仿宋_GB2312"/>
          <w:color w:val="auto"/>
          <w:sz w:val="32"/>
          <w:szCs w:val="32"/>
        </w:rPr>
        <w:t>打造传统产业升级</w:t>
      </w:r>
      <w:r>
        <w:rPr>
          <w:rFonts w:hint="eastAsia"/>
          <w:color w:val="auto"/>
          <w:sz w:val="32"/>
          <w:szCs w:val="32"/>
          <w:lang w:eastAsia="zh-CN"/>
        </w:rPr>
        <w:t>，</w:t>
      </w:r>
      <w:r>
        <w:rPr>
          <w:rFonts w:hint="eastAsia" w:eastAsia="仿宋_GB2312"/>
          <w:color w:val="auto"/>
          <w:sz w:val="32"/>
          <w:szCs w:val="32"/>
        </w:rPr>
        <w:t>提高亩均产出效率，解决发展空间不足问题同时，降低单位建筑面积能耗。</w:t>
      </w:r>
    </w:p>
    <w:p>
      <w:pPr>
        <w:keepNext/>
        <w:keepLines/>
        <w:pageBreakBefore w:val="0"/>
        <w:widowControl w:val="0"/>
        <w:kinsoku/>
        <w:wordWrap/>
        <w:overflowPunct/>
        <w:topLinePunct w:val="0"/>
        <w:autoSpaceDE/>
        <w:autoSpaceDN/>
        <w:bidi w:val="0"/>
        <w:adjustRightInd/>
        <w:snapToGrid/>
        <w:spacing w:before="120" w:after="120"/>
        <w:ind w:firstLine="602"/>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eastAsia="zh-CN"/>
        </w:rPr>
        <w:t>（二）</w:t>
      </w:r>
      <w:r>
        <w:rPr>
          <w:rFonts w:hint="eastAsia" w:ascii="仿宋" w:hAnsi="仿宋" w:eastAsia="仿宋" w:cs="仿宋"/>
          <w:b/>
          <w:bCs/>
          <w:color w:val="auto"/>
          <w:kern w:val="0"/>
          <w:sz w:val="30"/>
          <w:szCs w:val="30"/>
        </w:rPr>
        <w:t>引领带动现代农业加速提质增效，促进乡村振兴</w:t>
      </w:r>
    </w:p>
    <w:p>
      <w:pPr>
        <w:adjustRightInd w:val="0"/>
        <w:snapToGrid w:val="0"/>
        <w:spacing w:line="600" w:lineRule="exact"/>
        <w:ind w:firstLine="600" w:firstLineChars="200"/>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rPr>
        <w:t>园庄镇以建设“乡村振兴示范区”为总目标，突出“产业兴镇、文旅强镇、生态靓镇”，重点发展“面点特色产业、新型合作社农业、边际乡村旅游业、慈孝文化创意产业”四大产业，全力打造“感受慈孝文化、品尝面点美食、探寻千年古迹、游览山水风光、回归绿色田园、追思红色记忆”生态旅游综合示范区。</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lang w:eastAsia="zh-CN"/>
        </w:rPr>
        <w:t>园庄面点</w:t>
      </w:r>
      <w:r>
        <w:rPr>
          <w:rFonts w:hint="eastAsia" w:ascii="仿宋" w:hAnsi="仿宋" w:eastAsia="仿宋" w:cs="仿宋"/>
          <w:color w:val="auto"/>
          <w:kern w:val="0"/>
          <w:sz w:val="30"/>
          <w:szCs w:val="30"/>
        </w:rPr>
        <w:t>产业园的建设有助于</w:t>
      </w:r>
      <w:r>
        <w:rPr>
          <w:rFonts w:hint="eastAsia" w:ascii="仿宋" w:hAnsi="仿宋" w:eastAsia="仿宋" w:cs="仿宋"/>
          <w:color w:val="auto"/>
          <w:kern w:val="0"/>
          <w:sz w:val="30"/>
          <w:szCs w:val="30"/>
          <w:lang w:eastAsia="zh-CN"/>
        </w:rPr>
        <w:t>园庄</w:t>
      </w:r>
      <w:r>
        <w:rPr>
          <w:rFonts w:hint="eastAsia" w:ascii="仿宋" w:hAnsi="仿宋" w:eastAsia="仿宋" w:cs="仿宋"/>
          <w:color w:val="auto"/>
          <w:kern w:val="0"/>
          <w:sz w:val="30"/>
          <w:szCs w:val="30"/>
        </w:rPr>
        <w:t>镇在做优做强传统特色产业的同时，进一步整合资源，引领带动现代农业加速提质增效，促进乡村振兴。</w:t>
      </w:r>
    </w:p>
    <w:p>
      <w:pPr>
        <w:spacing w:beforeLines="0" w:afterLines="0"/>
        <w:ind w:firstLine="482" w:firstLineChars="200"/>
        <w:jc w:val="left"/>
        <w:rPr>
          <w:rFonts w:hint="eastAsia" w:ascii="仿宋" w:hAnsi="仿宋" w:eastAsia="仿宋" w:cs="仿宋"/>
          <w:b/>
          <w:bCs/>
          <w:color w:val="auto"/>
          <w:kern w:val="0"/>
          <w:sz w:val="30"/>
          <w:szCs w:val="30"/>
          <w:lang w:eastAsia="zh-CN"/>
        </w:rPr>
      </w:pPr>
      <w:r>
        <w:rPr>
          <w:rFonts w:hint="eastAsia" w:ascii="MicrosoftYaHei" w:hAnsi="MicrosoftYaHei" w:eastAsia="MicrosoftYaHei"/>
          <w:b/>
          <w:bCs/>
          <w:color w:val="auto"/>
          <w:sz w:val="24"/>
          <w:szCs w:val="24"/>
          <w:lang w:val="en-US" w:eastAsia="zh-CN"/>
        </w:rPr>
        <w:t>（三）</w:t>
      </w:r>
      <w:r>
        <w:rPr>
          <w:rFonts w:hint="eastAsia" w:ascii="仿宋" w:hAnsi="仿宋" w:eastAsia="仿宋" w:cs="仿宋"/>
          <w:b/>
          <w:bCs/>
          <w:color w:val="auto"/>
          <w:kern w:val="0"/>
          <w:sz w:val="30"/>
          <w:szCs w:val="30"/>
          <w:lang w:eastAsia="zh-CN"/>
        </w:rPr>
        <w:t>打造</w:t>
      </w:r>
      <w:r>
        <w:rPr>
          <w:rFonts w:hint="eastAsia" w:ascii="仿宋" w:hAnsi="仿宋" w:eastAsia="仿宋" w:cs="仿宋"/>
          <w:b/>
          <w:bCs/>
          <w:color w:val="auto"/>
          <w:kern w:val="0"/>
          <w:sz w:val="30"/>
          <w:szCs w:val="30"/>
        </w:rPr>
        <w:t>“味在园庄”集体品牌商标</w:t>
      </w:r>
    </w:p>
    <w:p>
      <w:pPr>
        <w:ind w:firstLine="6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园庄镇素有“中国面点师之乡”的美誉，全镇60%以上的青壮年外出经营早餐早点等面点行业，从业人员达2.6 万人，在外经营近7000多家店铺。</w:t>
      </w:r>
      <w:r>
        <w:rPr>
          <w:rFonts w:hint="eastAsia" w:ascii="仿宋" w:hAnsi="仿宋" w:eastAsia="仿宋" w:cs="仿宋"/>
          <w:color w:val="auto"/>
          <w:kern w:val="0"/>
          <w:sz w:val="30"/>
          <w:szCs w:val="30"/>
          <w:lang w:eastAsia="zh-CN"/>
        </w:rPr>
        <w:t>本次成片开发可</w:t>
      </w:r>
      <w:r>
        <w:rPr>
          <w:rFonts w:hint="eastAsia" w:ascii="仿宋" w:hAnsi="仿宋" w:eastAsia="仿宋" w:cs="仿宋"/>
          <w:color w:val="auto"/>
          <w:kern w:val="0"/>
          <w:sz w:val="30"/>
          <w:szCs w:val="30"/>
        </w:rPr>
        <w:t>加快推进面点产业转型升级，向品牌化、规范化、规模化集聚发展，借鉴“沙县小吃”产业发展思路和运作模式，筹建面点创意产业园和面点师培训基地，由点及面推进园庄手工线面、豆皮、瑞祥、馒头、包子等标准化系列产品在全国推广，形成培训、研学、直播、生产、营销及冷链物流等面点产业链</w:t>
      </w:r>
      <w:r>
        <w:rPr>
          <w:rFonts w:hint="eastAsia" w:ascii="仿宋" w:hAnsi="仿宋" w:eastAsia="仿宋" w:cs="仿宋"/>
          <w:color w:val="auto"/>
          <w:kern w:val="0"/>
          <w:sz w:val="30"/>
          <w:szCs w:val="30"/>
          <w:lang w:eastAsia="zh-CN"/>
        </w:rPr>
        <w:t>，打造</w:t>
      </w:r>
      <w:r>
        <w:rPr>
          <w:rFonts w:hint="eastAsia" w:ascii="仿宋" w:hAnsi="仿宋" w:eastAsia="仿宋" w:cs="仿宋"/>
          <w:color w:val="auto"/>
          <w:kern w:val="0"/>
          <w:sz w:val="30"/>
          <w:szCs w:val="30"/>
        </w:rPr>
        <w:t>“味在园庄”集体</w:t>
      </w:r>
      <w:r>
        <w:rPr>
          <w:rFonts w:hint="eastAsia" w:ascii="仿宋" w:hAnsi="仿宋" w:eastAsia="仿宋" w:cs="仿宋"/>
          <w:color w:val="auto"/>
          <w:kern w:val="0"/>
          <w:sz w:val="30"/>
          <w:szCs w:val="30"/>
          <w:lang w:eastAsia="zh-CN"/>
        </w:rPr>
        <w:t>品牌</w:t>
      </w:r>
      <w:r>
        <w:rPr>
          <w:rFonts w:hint="eastAsia" w:ascii="仿宋" w:hAnsi="仿宋" w:eastAsia="仿宋" w:cs="仿宋"/>
          <w:color w:val="auto"/>
          <w:kern w:val="0"/>
          <w:sz w:val="30"/>
          <w:szCs w:val="30"/>
        </w:rPr>
        <w:t>商标。</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snapToGrid w:val="0"/>
        <w:spacing w:line="600" w:lineRule="exact"/>
        <w:ind w:firstLine="640" w:firstLineChars="200"/>
        <w:rPr>
          <w:rFonts w:eastAsia="仿宋_GB2312"/>
          <w:sz w:val="32"/>
          <w:szCs w:val="32"/>
        </w:rPr>
      </w:pPr>
      <w:r>
        <w:rPr>
          <w:rFonts w:hint="eastAsia" w:ascii="仿宋" w:hAnsi="仿宋" w:eastAsia="仿宋" w:cs="Times New Roman"/>
          <w:kern w:val="0"/>
          <w:sz w:val="32"/>
          <w:szCs w:val="32"/>
        </w:rPr>
        <w:t>本方案用地总面积23.6662公顷，主要用途为工业用地。工业用地面积13.2337公顷，占用地总面积的55.92%，用于提供工业企业生产所需工业用地，建设</w:t>
      </w:r>
      <w:r>
        <w:rPr>
          <w:rFonts w:hint="eastAsia" w:ascii="仿宋" w:hAnsi="仿宋" w:eastAsia="仿宋" w:cs="Times New Roman"/>
          <w:kern w:val="0"/>
          <w:sz w:val="32"/>
          <w:szCs w:val="32"/>
          <w:lang w:val="en-US" w:eastAsia="zh-CN"/>
        </w:rPr>
        <w:t>香产业</w:t>
      </w:r>
      <w:r>
        <w:rPr>
          <w:rFonts w:hint="eastAsia" w:ascii="仿宋" w:hAnsi="仿宋" w:eastAsia="仿宋" w:cs="Times New Roman"/>
          <w:kern w:val="0"/>
          <w:sz w:val="32"/>
          <w:szCs w:val="32"/>
        </w:rPr>
        <w:t>制造标准化厂房及厂区内相关生活配套；城镇道路用地面积4.2650公顷，占用地总面积的18.02%，实现交通路网畅通的功能；绿地与开敞空间用地，总用地面积4.6286公顷，占用地总面积的19.56%以道路两侧带状绿地为主，实现美化环境、净化空气的功能；公用设施用地，</w:t>
      </w:r>
      <w:r>
        <w:rPr>
          <w:rFonts w:hint="eastAsia" w:ascii="仿宋" w:hAnsi="仿宋" w:eastAsia="仿宋"/>
          <w:kern w:val="0"/>
          <w:sz w:val="32"/>
          <w:szCs w:val="32"/>
        </w:rPr>
        <w:t>总用地面积1.5389公顷，</w:t>
      </w:r>
      <w:r>
        <w:rPr>
          <w:rFonts w:eastAsia="仿宋_GB2312"/>
          <w:sz w:val="32"/>
          <w:szCs w:val="32"/>
        </w:rPr>
        <w:t>占用地总面积的</w:t>
      </w:r>
      <w:r>
        <w:rPr>
          <w:rFonts w:hint="eastAsia" w:eastAsia="仿宋_GB2312"/>
          <w:sz w:val="32"/>
          <w:szCs w:val="32"/>
        </w:rPr>
        <w:t>6.50</w:t>
      </w:r>
      <w:r>
        <w:rPr>
          <w:rFonts w:eastAsia="仿宋_GB2312"/>
          <w:sz w:val="32"/>
          <w:szCs w:val="32"/>
        </w:rPr>
        <w:t>%</w:t>
      </w:r>
      <w:r>
        <w:rPr>
          <w:rFonts w:hint="eastAsia" w:eastAsia="仿宋_GB2312"/>
          <w:sz w:val="32"/>
          <w:szCs w:val="32"/>
        </w:rPr>
        <w:t>，为</w:t>
      </w:r>
      <w:r>
        <w:rPr>
          <w:rFonts w:hint="eastAsia" w:ascii="仿宋" w:hAnsi="仿宋" w:eastAsia="仿宋"/>
          <w:kern w:val="0"/>
          <w:sz w:val="32"/>
          <w:szCs w:val="32"/>
        </w:rPr>
        <w:t>现状消防站用地</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实现</w:t>
      </w:r>
      <w:r>
        <w:rPr>
          <w:rFonts w:hint="eastAsia" w:ascii="仿宋" w:hAnsi="仿宋" w:eastAsia="仿宋"/>
          <w:kern w:val="0"/>
          <w:sz w:val="32"/>
          <w:szCs w:val="32"/>
          <w:lang w:eastAsia="zh-CN"/>
        </w:rPr>
        <w:t>保护城市消防安全</w:t>
      </w:r>
      <w:r>
        <w:rPr>
          <w:rFonts w:eastAsia="仿宋_GB2312"/>
          <w:sz w:val="32"/>
          <w:szCs w:val="32"/>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snapToGrid w:val="0"/>
        <w:spacing w:line="600" w:lineRule="exact"/>
        <w:ind w:firstLine="640" w:firstLineChars="200"/>
        <w:rPr>
          <w:rFonts w:eastAsia="仿宋_GB2312"/>
          <w:sz w:val="32"/>
          <w:szCs w:val="32"/>
        </w:rPr>
      </w:pPr>
      <w:r>
        <w:rPr>
          <w:rFonts w:hint="eastAsia" w:ascii="仿宋" w:hAnsi="仿宋" w:eastAsia="仿宋" w:cs="Times New Roman"/>
          <w:kern w:val="0"/>
          <w:sz w:val="32"/>
          <w:szCs w:val="32"/>
        </w:rPr>
        <w:t>公益性用地包含城镇道路用地、</w:t>
      </w:r>
      <w:r>
        <w:rPr>
          <w:rFonts w:hint="eastAsia" w:ascii="仿宋" w:hAnsi="仿宋" w:eastAsia="仿宋" w:cs="Times New Roman"/>
          <w:kern w:val="0"/>
          <w:sz w:val="32"/>
          <w:szCs w:val="32"/>
          <w:lang w:val="en-US" w:eastAsia="zh-CN"/>
        </w:rPr>
        <w:t>共用设施</w:t>
      </w:r>
      <w:r>
        <w:rPr>
          <w:rFonts w:hint="eastAsia" w:ascii="仿宋" w:hAnsi="仿宋" w:eastAsia="仿宋" w:cs="Times New Roman"/>
          <w:kern w:val="0"/>
          <w:sz w:val="32"/>
          <w:szCs w:val="32"/>
        </w:rPr>
        <w:t>用地和绿地与开敞空间用地，合</w:t>
      </w:r>
      <w:r>
        <w:rPr>
          <w:rFonts w:eastAsia="仿宋_GB2312"/>
          <w:sz w:val="32"/>
          <w:szCs w:val="32"/>
        </w:rPr>
        <w:t>计</w:t>
      </w:r>
      <w:r>
        <w:rPr>
          <w:rFonts w:hint="eastAsia" w:eastAsia="仿宋_GB2312"/>
          <w:sz w:val="32"/>
          <w:szCs w:val="32"/>
        </w:rPr>
        <w:t>10.4325</w:t>
      </w:r>
      <w:r>
        <w:rPr>
          <w:rFonts w:eastAsia="仿宋_GB2312"/>
          <w:sz w:val="32"/>
          <w:szCs w:val="32"/>
        </w:rPr>
        <w:t>公顷，占用地总面积的4</w:t>
      </w:r>
      <w:r>
        <w:rPr>
          <w:rFonts w:hint="eastAsia" w:eastAsia="仿宋_GB2312"/>
          <w:sz w:val="32"/>
          <w:szCs w:val="32"/>
        </w:rPr>
        <w:t>4.08</w:t>
      </w:r>
      <w:r>
        <w:rPr>
          <w:rFonts w:eastAsia="仿宋_GB2312"/>
          <w:sz w:val="32"/>
          <w:szCs w:val="32"/>
        </w:rPr>
        <w:t>%，符合自然资规〔2020〕5号规定。</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adjustRightInd w:val="0"/>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widowControl/>
        <w:tabs>
          <w:tab w:val="left" w:pos="2730"/>
        </w:tabs>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spacing w:line="600" w:lineRule="exact"/>
        <w:ind w:firstLine="620" w:firstLineChars="200"/>
        <w:rPr>
          <w:rFonts w:eastAsia="仿宋_GB2312"/>
          <w:sz w:val="32"/>
          <w:szCs w:val="32"/>
        </w:rPr>
      </w:pPr>
      <w:r>
        <w:rPr>
          <w:rFonts w:ascii="Times New Roman" w:hAnsi="Times New Roman" w:eastAsia="仿宋_GB2312" w:cs="Times New Roman"/>
          <w:kern w:val="0"/>
          <w:sz w:val="31"/>
          <w:szCs w:val="31"/>
          <w:lang w:bidi="ar"/>
        </w:rPr>
        <w:t>（一）土地利用效益：</w:t>
      </w:r>
      <w:r>
        <w:rPr>
          <w:rFonts w:ascii="Times New Roman" w:hAnsi="Times New Roman" w:eastAsia="仿宋_GB2312" w:cs="Times New Roman"/>
          <w:sz w:val="32"/>
          <w:szCs w:val="32"/>
        </w:rPr>
        <w:t>通过土地利用开发，</w:t>
      </w:r>
      <w:r>
        <w:rPr>
          <w:rFonts w:eastAsia="仿宋_GB2312"/>
          <w:sz w:val="32"/>
          <w:szCs w:val="32"/>
        </w:rPr>
        <w:t>可以有效整合区域内土地资源，促进土地资源要素的统筹利用，科学合理布局各类用地，有效推动土地集约、节约利用。</w:t>
      </w:r>
    </w:p>
    <w:p>
      <w:pPr>
        <w:adjustRightInd w:val="0"/>
        <w:snapToGrid w:val="0"/>
        <w:spacing w:line="600" w:lineRule="exact"/>
        <w:ind w:firstLine="570"/>
        <w:rPr>
          <w:rFonts w:hint="eastAsia" w:eastAsia="仿宋_GB2312"/>
          <w:color w:val="auto"/>
          <w:sz w:val="32"/>
          <w:szCs w:val="32"/>
        </w:rPr>
      </w:pPr>
      <w:r>
        <w:rPr>
          <w:rFonts w:ascii="Times New Roman" w:hAnsi="Times New Roman" w:eastAsia="仿宋_GB2312" w:cs="Times New Roman"/>
          <w:kern w:val="0"/>
          <w:sz w:val="31"/>
          <w:szCs w:val="31"/>
          <w:lang w:bidi="ar"/>
        </w:rPr>
        <w:t>（二）经济效益：</w:t>
      </w:r>
      <w:r>
        <w:rPr>
          <w:rFonts w:eastAsia="仿宋_GB2312"/>
          <w:color w:val="auto"/>
          <w:sz w:val="32"/>
          <w:szCs w:val="32"/>
        </w:rPr>
        <w:t>本方案工业项目</w:t>
      </w:r>
      <w:r>
        <w:rPr>
          <w:rFonts w:hint="eastAsia" w:eastAsia="仿宋_GB2312"/>
          <w:color w:val="auto"/>
          <w:sz w:val="32"/>
          <w:szCs w:val="32"/>
        </w:rPr>
        <w:t>总投资</w:t>
      </w:r>
      <w:r>
        <w:rPr>
          <w:rFonts w:hint="eastAsia"/>
          <w:color w:val="auto"/>
          <w:sz w:val="32"/>
          <w:szCs w:val="32"/>
          <w:lang w:eastAsia="zh-CN"/>
        </w:rPr>
        <w:t>约</w:t>
      </w:r>
      <w:r>
        <w:rPr>
          <w:rFonts w:hint="eastAsia" w:eastAsia="仿宋_GB2312"/>
          <w:color w:val="auto"/>
          <w:sz w:val="32"/>
          <w:szCs w:val="32"/>
        </w:rPr>
        <w:t>1</w:t>
      </w:r>
      <w:r>
        <w:rPr>
          <w:rFonts w:hint="eastAsia"/>
          <w:color w:val="auto"/>
          <w:sz w:val="32"/>
          <w:szCs w:val="32"/>
          <w:lang w:val="en-US" w:eastAsia="zh-CN"/>
        </w:rPr>
        <w:t>.</w:t>
      </w:r>
      <w:r>
        <w:rPr>
          <w:rFonts w:hint="eastAsia" w:eastAsia="仿宋_GB2312"/>
          <w:color w:val="auto"/>
          <w:sz w:val="32"/>
          <w:szCs w:val="32"/>
        </w:rPr>
        <w:t>6</w:t>
      </w:r>
      <w:r>
        <w:rPr>
          <w:rFonts w:hint="eastAsia"/>
          <w:color w:val="auto"/>
          <w:sz w:val="32"/>
          <w:szCs w:val="32"/>
          <w:lang w:eastAsia="zh-CN"/>
        </w:rPr>
        <w:t>亿</w:t>
      </w:r>
      <w:r>
        <w:rPr>
          <w:rFonts w:hint="eastAsia" w:eastAsia="仿宋_GB2312"/>
          <w:color w:val="auto"/>
          <w:sz w:val="32"/>
          <w:szCs w:val="32"/>
        </w:rPr>
        <w:t>元，其中：固定资产投资1</w:t>
      </w:r>
      <w:r>
        <w:rPr>
          <w:rFonts w:hint="eastAsia"/>
          <w:color w:val="auto"/>
          <w:sz w:val="32"/>
          <w:szCs w:val="32"/>
          <w:lang w:val="en-US" w:eastAsia="zh-CN"/>
        </w:rPr>
        <w:t>.</w:t>
      </w:r>
      <w:r>
        <w:rPr>
          <w:rFonts w:hint="eastAsia" w:eastAsia="仿宋_GB2312"/>
          <w:color w:val="auto"/>
          <w:sz w:val="32"/>
          <w:szCs w:val="32"/>
        </w:rPr>
        <w:t>2万元，流动资金</w:t>
      </w:r>
      <w:r>
        <w:rPr>
          <w:rFonts w:hint="eastAsia"/>
          <w:color w:val="auto"/>
          <w:sz w:val="32"/>
          <w:szCs w:val="32"/>
          <w:lang w:val="en-US" w:eastAsia="zh-CN"/>
        </w:rPr>
        <w:t>0.</w:t>
      </w:r>
      <w:r>
        <w:rPr>
          <w:rFonts w:hint="eastAsia" w:eastAsia="仿宋_GB2312"/>
          <w:color w:val="auto"/>
          <w:sz w:val="32"/>
          <w:szCs w:val="32"/>
        </w:rPr>
        <w:t>4万元：经测算分析，项目建成投产后年营业收入</w:t>
      </w:r>
      <w:r>
        <w:rPr>
          <w:rFonts w:hint="eastAsia"/>
          <w:color w:val="auto"/>
          <w:sz w:val="32"/>
          <w:szCs w:val="32"/>
          <w:lang w:val="en-US" w:eastAsia="zh-CN"/>
        </w:rPr>
        <w:t>3亿</w:t>
      </w:r>
      <w:r>
        <w:rPr>
          <w:rFonts w:hint="eastAsia" w:eastAsia="仿宋_GB2312"/>
          <w:color w:val="auto"/>
          <w:sz w:val="32"/>
          <w:szCs w:val="32"/>
        </w:rPr>
        <w:t>元，总成本费用2</w:t>
      </w:r>
      <w:r>
        <w:rPr>
          <w:rFonts w:hint="eastAsia"/>
          <w:color w:val="auto"/>
          <w:sz w:val="32"/>
          <w:szCs w:val="32"/>
          <w:lang w:val="en-US" w:eastAsia="zh-CN"/>
        </w:rPr>
        <w:t>.</w:t>
      </w:r>
      <w:r>
        <w:rPr>
          <w:rFonts w:hint="eastAsia" w:eastAsia="仿宋_GB2312"/>
          <w:color w:val="auto"/>
          <w:sz w:val="32"/>
          <w:szCs w:val="32"/>
        </w:rPr>
        <w:t>25</w:t>
      </w:r>
      <w:r>
        <w:rPr>
          <w:rFonts w:hint="eastAsia"/>
          <w:color w:val="auto"/>
          <w:sz w:val="32"/>
          <w:szCs w:val="32"/>
          <w:lang w:eastAsia="zh-CN"/>
        </w:rPr>
        <w:t>亿</w:t>
      </w:r>
      <w:r>
        <w:rPr>
          <w:rFonts w:hint="eastAsia" w:eastAsia="仿宋_GB2312"/>
          <w:color w:val="auto"/>
          <w:sz w:val="32"/>
          <w:szCs w:val="32"/>
        </w:rPr>
        <w:t>元，年利税总额</w:t>
      </w:r>
      <w:r>
        <w:rPr>
          <w:rFonts w:hint="eastAsia"/>
          <w:color w:val="auto"/>
          <w:sz w:val="32"/>
          <w:szCs w:val="32"/>
          <w:lang w:val="en-US" w:eastAsia="zh-CN"/>
        </w:rPr>
        <w:t>0.</w:t>
      </w:r>
      <w:r>
        <w:rPr>
          <w:rFonts w:hint="eastAsia" w:eastAsia="仿宋_GB2312"/>
          <w:color w:val="auto"/>
          <w:sz w:val="32"/>
          <w:szCs w:val="32"/>
        </w:rPr>
        <w:t>8</w:t>
      </w:r>
      <w:r>
        <w:rPr>
          <w:rFonts w:hint="eastAsia"/>
          <w:color w:val="auto"/>
          <w:sz w:val="32"/>
          <w:szCs w:val="32"/>
          <w:lang w:val="en-US" w:eastAsia="zh-CN"/>
        </w:rPr>
        <w:t>6</w:t>
      </w:r>
      <w:r>
        <w:rPr>
          <w:rFonts w:hint="eastAsia"/>
          <w:color w:val="auto"/>
          <w:sz w:val="32"/>
          <w:szCs w:val="32"/>
          <w:lang w:eastAsia="zh-CN"/>
        </w:rPr>
        <w:t>亿</w:t>
      </w:r>
      <w:r>
        <w:rPr>
          <w:rFonts w:hint="eastAsia" w:eastAsia="仿宋_GB2312"/>
          <w:color w:val="auto"/>
          <w:sz w:val="32"/>
          <w:szCs w:val="32"/>
        </w:rPr>
        <w:t>元，本期工程项目可以取得较好的经济效益</w:t>
      </w:r>
      <w:r>
        <w:rPr>
          <w:rFonts w:hint="eastAsia"/>
          <w:color w:val="auto"/>
          <w:sz w:val="32"/>
          <w:szCs w:val="32"/>
          <w:lang w:eastAsia="zh-CN"/>
        </w:rPr>
        <w:t>，</w:t>
      </w:r>
      <w:r>
        <w:rPr>
          <w:rFonts w:hint="eastAsia" w:eastAsia="仿宋_GB2312"/>
          <w:color w:val="auto"/>
          <w:sz w:val="32"/>
          <w:szCs w:val="32"/>
        </w:rPr>
        <w:t>项目建设规模合理、经济技术实施方案可行。</w:t>
      </w:r>
    </w:p>
    <w:p>
      <w:pPr>
        <w:snapToGrid w:val="0"/>
        <w:spacing w:line="600" w:lineRule="exact"/>
        <w:ind w:firstLine="620" w:firstLineChars="200"/>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（三）社会效益：本方案的实施</w:t>
      </w:r>
      <w:r>
        <w:rPr>
          <w:rFonts w:ascii="Times New Roman" w:hAnsi="Times New Roman" w:eastAsia="仿宋_GB2312" w:cs="Times New Roman"/>
          <w:sz w:val="32"/>
          <w:szCs w:val="32"/>
          <w:shd w:val="clear" w:color="auto" w:fill="FFFFFF"/>
        </w:rPr>
        <w:t>有利于完善基础设施；</w:t>
      </w:r>
      <w:r>
        <w:rPr>
          <w:rFonts w:hint="eastAsia" w:ascii="Times New Roman" w:hAnsi="Times New Roman" w:eastAsia="仿宋_GB2312" w:cs="Times New Roman"/>
          <w:kern w:val="0"/>
          <w:sz w:val="31"/>
          <w:szCs w:val="31"/>
          <w:lang w:bidi="ar"/>
        </w:rPr>
        <w:t>有利于</w:t>
      </w:r>
      <w:r>
        <w:rPr>
          <w:rFonts w:ascii="Times New Roman" w:hAnsi="Times New Roman" w:eastAsia="仿宋_GB2312" w:cs="Times New Roman"/>
          <w:sz w:val="32"/>
          <w:szCs w:val="32"/>
          <w:shd w:val="clear" w:color="auto" w:fill="FFFFFF"/>
        </w:rPr>
        <w:t>增加就业机会，提高居民人均收入。</w:t>
      </w:r>
    </w:p>
    <w:p>
      <w:pPr>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（四）生态效益：本方案成片开发项目</w:t>
      </w:r>
      <w:r>
        <w:rPr>
          <w:rFonts w:eastAsia="仿宋_GB2312"/>
          <w:sz w:val="32"/>
          <w:szCs w:val="32"/>
        </w:rPr>
        <w:t>根据《工矿用地土壤环境管理办法（试行）》，加强工矿用地土壤和地下水环境保护监督管理，防治工矿用地土壤和地下水污染。</w:t>
      </w:r>
      <w:r>
        <w:rPr>
          <w:rFonts w:ascii="Times New Roman" w:hAnsi="Times New Roman" w:eastAsia="仿宋_GB2312" w:cs="Times New Roman"/>
          <w:sz w:val="32"/>
          <w:szCs w:val="32"/>
        </w:rPr>
        <w:t>在土地利用开发、规划等过程中，将严格按照相关法律法规落实水环境保护措施，确保满足周边及下游水环境质量与安全要求。</w:t>
      </w:r>
    </w:p>
    <w:p>
      <w:pPr>
        <w:overflowPunct w:val="0"/>
        <w:spacing w:line="60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spacing w:before="0" w:after="0" w:line="600" w:lineRule="exact"/>
        <w:ind w:firstLine="620" w:firstLineChars="200"/>
        <w:rPr>
          <w:rFonts w:ascii="Times New Roman" w:hAnsi="Times New Roman" w:eastAsia="仿宋_GB2312" w:cs="Times New Roman"/>
          <w:b w:val="0"/>
          <w:bCs w:val="0"/>
          <w:kern w:val="0"/>
          <w:sz w:val="31"/>
          <w:szCs w:val="31"/>
          <w:lang w:bidi="ar"/>
        </w:rPr>
      </w:pPr>
      <w:r>
        <w:rPr>
          <w:rFonts w:ascii="Times New Roman" w:hAnsi="Times New Roman" w:eastAsia="仿宋_GB2312" w:cs="Times New Roman"/>
          <w:b w:val="0"/>
          <w:bCs w:val="0"/>
          <w:kern w:val="0"/>
          <w:sz w:val="31"/>
          <w:szCs w:val="31"/>
          <w:lang w:bidi="ar"/>
        </w:rPr>
        <w:t>《仙游县2022年度第</w:t>
      </w:r>
      <w:r>
        <w:rPr>
          <w:rFonts w:hint="eastAsia" w:ascii="Times New Roman" w:hAnsi="Times New Roman" w:eastAsia="仿宋_GB2312" w:cs="Times New Roman"/>
          <w:b w:val="0"/>
          <w:bCs w:val="0"/>
          <w:kern w:val="0"/>
          <w:sz w:val="31"/>
          <w:szCs w:val="31"/>
          <w:lang w:bidi="ar"/>
        </w:rPr>
        <w:t>二十</w:t>
      </w:r>
      <w:r>
        <w:rPr>
          <w:rFonts w:hint="eastAsia" w:ascii="Times New Roman" w:hAnsi="Times New Roman" w:eastAsia="仿宋_GB2312" w:cs="Times New Roman"/>
          <w:b w:val="0"/>
          <w:bCs w:val="0"/>
          <w:kern w:val="0"/>
          <w:sz w:val="31"/>
          <w:szCs w:val="31"/>
          <w:lang w:eastAsia="zh-CN" w:bidi="ar"/>
        </w:rPr>
        <w:t>一</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val="en-US" w:eastAsia="zh-CN" w:bidi="ar"/>
        </w:rPr>
        <w:t>园庄面点产业园</w:t>
      </w:r>
      <w:r>
        <w:rPr>
          <w:rFonts w:ascii="Times New Roman" w:hAnsi="Times New Roman" w:eastAsia="仿宋_GB2312" w:cs="Times New Roman"/>
          <w:b w:val="0"/>
          <w:bCs w:val="0"/>
          <w:kern w:val="0"/>
          <w:sz w:val="31"/>
          <w:szCs w:val="31"/>
          <w:lang w:bidi="ar"/>
        </w:rPr>
        <w:t>）》符合土地征收成片开发的标准。</w:t>
      </w:r>
    </w:p>
    <w:p>
      <w:pPr>
        <w:overflowPunct w:val="0"/>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br w:type="page"/>
      </w:r>
    </w:p>
    <w:p>
      <w:pPr>
        <w:rPr>
          <w:rFonts w:ascii="Times New Roman" w:hAnsi="Times New Roman" w:cs="Times New Roman"/>
          <w:sz w:val="28"/>
          <w:szCs w:val="28"/>
        </w:rPr>
        <w:sectPr>
          <w:pgSz w:w="11906" w:h="16838"/>
          <w:pgMar w:top="1440" w:right="1797" w:bottom="1440" w:left="1797" w:header="851" w:footer="992" w:gutter="0"/>
          <w:cols w:space="425" w:num="1"/>
          <w:docGrid w:type="lines" w:linePitch="312" w:charSpace="0"/>
        </w:sectPr>
      </w:pPr>
    </w:p>
    <w:p>
      <w:pPr>
        <w:pStyle w:val="6"/>
        <w:spacing w:line="415" w:lineRule="auto"/>
        <w:rPr>
          <w:rFonts w:ascii="Times New Roman" w:hAnsi="Times New Roman" w:eastAsia="仿宋_GB2312" w:cs="Times New Roman"/>
          <w:b w:val="0"/>
          <w:bCs w:val="0"/>
          <w:kern w:val="0"/>
          <w:sz w:val="28"/>
          <w:szCs w:val="28"/>
          <w:lang w:bidi="ar"/>
        </w:rPr>
      </w:pPr>
      <w:r>
        <w:rPr>
          <w:rFonts w:ascii="Times New Roman" w:hAnsi="Times New Roman" w:eastAsia="仿宋_GB2312" w:cs="Times New Roman"/>
          <w:b w:val="0"/>
          <w:bCs w:val="0"/>
          <w:kern w:val="0"/>
          <w:sz w:val="28"/>
          <w:szCs w:val="28"/>
          <w:lang w:bidi="ar"/>
        </w:rPr>
        <w:t>附图1：位置示意图</w:t>
      </w:r>
    </w:p>
    <w:p>
      <w:pPr>
        <w:jc w:val="center"/>
        <w:rPr>
          <w:rFonts w:hint="eastAsia" w:ascii="Times New Roman" w:hAnsi="Times New Roman" w:eastAsia="仿宋_GB2312" w:cs="Times New Roman"/>
          <w:b/>
          <w:bCs/>
          <w:kern w:val="0"/>
          <w:sz w:val="28"/>
          <w:szCs w:val="28"/>
          <w:lang w:eastAsia="zh-CN" w:bidi="ar"/>
        </w:rPr>
      </w:pPr>
      <w:bookmarkStart w:id="0" w:name="_GoBack"/>
      <w:r>
        <w:rPr>
          <w:rFonts w:hint="eastAsia" w:ascii="Times New Roman" w:hAnsi="Times New Roman" w:eastAsia="仿宋_GB2312" w:cs="Times New Roman"/>
          <w:b/>
          <w:bCs/>
          <w:kern w:val="0"/>
          <w:sz w:val="28"/>
          <w:szCs w:val="28"/>
          <w:lang w:eastAsia="zh-CN" w:bidi="ar"/>
        </w:rPr>
        <w:drawing>
          <wp:inline distT="0" distB="0" distL="114300" distR="114300">
            <wp:extent cx="6635750" cy="4696460"/>
            <wp:effectExtent l="0" t="0" r="12700" b="8890"/>
            <wp:docPr id="2" name="图片 2" descr="10.24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24示意图"/>
                    <pic:cNvPicPr>
                      <a:picLocks noChangeAspect="1"/>
                    </pic:cNvPicPr>
                  </pic:nvPicPr>
                  <pic:blipFill>
                    <a:blip r:embed="rId4"/>
                    <a:stretch>
                      <a:fillRect/>
                    </a:stretch>
                  </pic:blipFill>
                  <pic:spPr>
                    <a:xfrm>
                      <a:off x="0" y="0"/>
                      <a:ext cx="6635750" cy="4696460"/>
                    </a:xfrm>
                    <a:prstGeom prst="rect">
                      <a:avLst/>
                    </a:prstGeom>
                  </pic:spPr>
                </pic:pic>
              </a:graphicData>
            </a:graphic>
          </wp:inline>
        </w:drawing>
      </w:r>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1CFA0A64"/>
    <w:rsid w:val="1F106CB2"/>
    <w:rsid w:val="36BA63DD"/>
    <w:rsid w:val="36C66087"/>
    <w:rsid w:val="470923BB"/>
    <w:rsid w:val="4D0E7126"/>
    <w:rsid w:val="57E7336B"/>
    <w:rsid w:val="66C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1"/>
    <w:link w:val="6"/>
    <w:uiPriority w:val="9"/>
    <w:rPr>
      <w:b/>
      <w:bCs/>
      <w:sz w:val="32"/>
      <w:szCs w:val="32"/>
    </w:rPr>
  </w:style>
  <w:style w:type="character" w:customStyle="1" w:styleId="17">
    <w:name w:val="批注框文本 Char"/>
    <w:basedOn w:val="11"/>
    <w:link w:val="7"/>
    <w:semiHidden/>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1921</Words>
  <Characters>2032</Characters>
  <Lines>15</Lines>
  <Paragraphs>4</Paragraphs>
  <TotalTime>3</TotalTime>
  <ScaleCrop>false</ScaleCrop>
  <LinksUpToDate>false</LinksUpToDate>
  <CharactersWithSpaces>2035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林晨</cp:lastModifiedBy>
  <cp:lastPrinted>2021-04-15T09:16:00Z</cp:lastPrinted>
  <dcterms:modified xsi:type="dcterms:W3CDTF">2022-10-24T02:16:24Z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1B3963F8F4B04221A14CCB01380816B3</vt:lpwstr>
  </property>
</Properties>
</file>