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rPr>
          <w:rFonts w:ascii="Times New Roman" w:hAnsi="Times New Roman" w:eastAsia="宋体" w:cs="Times New Roman"/>
          <w:kern w:val="0"/>
          <w:sz w:val="36"/>
          <w:szCs w:val="36"/>
          <w:lang w:bidi="ar"/>
        </w:rPr>
      </w:pPr>
      <w:r>
        <w:rPr>
          <w:rFonts w:ascii="Times New Roman" w:hAnsi="Times New Roman" w:eastAsia="宋体" w:cs="Times New Roman"/>
          <w:kern w:val="0"/>
          <w:sz w:val="36"/>
          <w:szCs w:val="36"/>
          <w:lang w:bidi="ar"/>
        </w:rPr>
        <w:t>附件</w:t>
      </w:r>
    </w:p>
    <w:p>
      <w:pPr>
        <w:pStyle w:val="5"/>
        <w:jc w:val="center"/>
        <w:rPr>
          <w:rFonts w:ascii="Times New Roman" w:hAnsi="Times New Roman" w:eastAsia="宋体" w:cs="Times New Roman"/>
        </w:rPr>
      </w:pPr>
      <w:r>
        <w:rPr>
          <w:rFonts w:ascii="Times New Roman" w:hAnsi="Times New Roman" w:eastAsia="宋体" w:cs="Times New Roman"/>
        </w:rPr>
        <w:t>仙游县2022年度第</w:t>
      </w:r>
      <w:r>
        <w:rPr>
          <w:rFonts w:hint="eastAsia" w:ascii="Times New Roman" w:hAnsi="Times New Roman" w:eastAsia="宋体" w:cs="Times New Roman"/>
          <w:lang w:eastAsia="zh-CN"/>
        </w:rPr>
        <w:t>九</w:t>
      </w:r>
      <w:r>
        <w:rPr>
          <w:rFonts w:ascii="Times New Roman" w:hAnsi="Times New Roman" w:eastAsia="宋体" w:cs="Times New Roman"/>
        </w:rPr>
        <w:t>批次土地征收成片开发方案（</w:t>
      </w:r>
      <w:r>
        <w:rPr>
          <w:rFonts w:hint="eastAsia" w:ascii="Times New Roman" w:hAnsi="Times New Roman" w:eastAsia="宋体" w:cs="Times New Roman"/>
          <w:lang w:eastAsia="zh-CN"/>
        </w:rPr>
        <w:t>纬二路北侧地块</w:t>
      </w:r>
      <w:r>
        <w:rPr>
          <w:rFonts w:ascii="Times New Roman" w:hAnsi="Times New Roman" w:eastAsia="宋体" w:cs="Times New Roman"/>
        </w:rPr>
        <w:t>）</w:t>
      </w:r>
    </w:p>
    <w:p>
      <w:pPr>
        <w:widowControl/>
        <w:tabs>
          <w:tab w:val="left" w:pos="2730"/>
        </w:tabs>
        <w:jc w:val="left"/>
        <w:outlineLvl w:val="1"/>
        <w:rPr>
          <w:rFonts w:ascii="Times New Roman" w:hAnsi="Times New Roman" w:eastAsia="黑体" w:cs="Times New Roman"/>
          <w:kern w:val="0"/>
          <w:sz w:val="31"/>
          <w:szCs w:val="31"/>
          <w:lang w:bidi="ar"/>
        </w:rPr>
      </w:pPr>
      <w:r>
        <w:rPr>
          <w:rFonts w:ascii="Times New Roman" w:hAnsi="Times New Roman" w:eastAsia="黑体" w:cs="Times New Roman"/>
          <w:kern w:val="0"/>
          <w:sz w:val="31"/>
          <w:szCs w:val="31"/>
          <w:lang w:bidi="ar"/>
        </w:rPr>
        <w:t>一、编制依据</w:t>
      </w:r>
      <w:r>
        <w:rPr>
          <w:rFonts w:ascii="Times New Roman" w:hAnsi="Times New Roman" w:eastAsia="黑体" w:cs="Times New Roman"/>
          <w:kern w:val="0"/>
          <w:sz w:val="31"/>
          <w:szCs w:val="31"/>
          <w:lang w:bidi="ar"/>
        </w:rPr>
        <w:tab/>
      </w:r>
    </w:p>
    <w:p>
      <w:pPr>
        <w:overflowPunct w:val="0"/>
        <w:spacing w:line="600" w:lineRule="exact"/>
        <w:ind w:firstLine="620" w:firstLineChars="200"/>
        <w:jc w:val="left"/>
        <w:rPr>
          <w:rFonts w:ascii="Times New Roman" w:hAnsi="Times New Roman" w:eastAsia="仿宋_GB2312" w:cs="Times New Roman"/>
          <w:kern w:val="0"/>
          <w:sz w:val="31"/>
          <w:szCs w:val="31"/>
          <w:lang w:bidi="ar"/>
        </w:rPr>
      </w:pPr>
      <w:r>
        <w:rPr>
          <w:rFonts w:ascii="Times New Roman" w:hAnsi="Times New Roman" w:eastAsia="仿宋_GB2312" w:cs="Times New Roman"/>
          <w:kern w:val="0"/>
          <w:sz w:val="31"/>
          <w:szCs w:val="31"/>
          <w:lang w:bidi="ar"/>
        </w:rPr>
        <w:t>依据《中华人民共和国土地管理法》（2019年修正</w:t>
      </w:r>
      <w:r>
        <w:rPr>
          <w:rFonts w:hint="eastAsia" w:ascii="Times New Roman" w:hAnsi="Times New Roman" w:eastAsia="仿宋_GB2312" w:cs="Times New Roman"/>
          <w:kern w:val="0"/>
          <w:sz w:val="31"/>
          <w:szCs w:val="31"/>
          <w:lang w:bidi="ar"/>
        </w:rPr>
        <w:t>版</w:t>
      </w:r>
      <w:r>
        <w:rPr>
          <w:rFonts w:ascii="Times New Roman" w:hAnsi="Times New Roman" w:eastAsia="仿宋_GB2312" w:cs="Times New Roman"/>
          <w:kern w:val="0"/>
          <w:sz w:val="31"/>
          <w:szCs w:val="31"/>
          <w:lang w:bidi="ar"/>
        </w:rPr>
        <w:t>）、《土地征收成片开发标准（试行）》、《国土空间调查、规划、用途管制用地用海分类指南》（试行）、《仙游县国民经济和社会发展第十四个五年规划和二</w:t>
      </w:r>
      <w:r>
        <w:rPr>
          <w:rFonts w:ascii="Times New Roman" w:hAnsi="Times New Roman" w:eastAsia="宋体" w:cs="Times New Roman"/>
          <w:kern w:val="0"/>
          <w:sz w:val="31"/>
          <w:szCs w:val="31"/>
          <w:lang w:bidi="ar"/>
        </w:rPr>
        <w:t>〇</w:t>
      </w:r>
      <w:r>
        <w:rPr>
          <w:rFonts w:ascii="Times New Roman" w:hAnsi="Times New Roman" w:eastAsia="仿宋_GB2312" w:cs="Times New Roman"/>
          <w:kern w:val="0"/>
          <w:sz w:val="31"/>
          <w:szCs w:val="31"/>
          <w:lang w:bidi="ar"/>
        </w:rPr>
        <w:t>三五年远景目标纲要》编制《仙游县2022年度第</w:t>
      </w:r>
      <w:r>
        <w:rPr>
          <w:rFonts w:hint="eastAsia" w:ascii="Times New Roman" w:hAnsi="Times New Roman" w:eastAsia="仿宋_GB2312" w:cs="Times New Roman"/>
          <w:kern w:val="0"/>
          <w:sz w:val="31"/>
          <w:szCs w:val="31"/>
          <w:lang w:eastAsia="zh-CN" w:bidi="ar"/>
        </w:rPr>
        <w:t>九</w:t>
      </w:r>
      <w:r>
        <w:rPr>
          <w:rFonts w:ascii="Times New Roman" w:hAnsi="Times New Roman" w:eastAsia="仿宋_GB2312" w:cs="Times New Roman"/>
          <w:kern w:val="0"/>
          <w:sz w:val="31"/>
          <w:szCs w:val="31"/>
          <w:lang w:bidi="ar"/>
        </w:rPr>
        <w:t>批次土地征收成片开发方案（</w:t>
      </w:r>
      <w:r>
        <w:rPr>
          <w:rFonts w:hint="eastAsia" w:ascii="Times New Roman" w:hAnsi="Times New Roman" w:eastAsia="仿宋_GB2312" w:cs="Times New Roman"/>
          <w:kern w:val="0"/>
          <w:sz w:val="31"/>
          <w:szCs w:val="31"/>
          <w:lang w:eastAsia="zh-CN" w:bidi="ar"/>
        </w:rPr>
        <w:t>纬二路北侧地块</w:t>
      </w:r>
      <w:r>
        <w:rPr>
          <w:rFonts w:ascii="Times New Roman" w:hAnsi="Times New Roman" w:eastAsia="仿宋_GB2312" w:cs="Times New Roman"/>
          <w:kern w:val="0"/>
          <w:sz w:val="31"/>
          <w:szCs w:val="31"/>
          <w:lang w:bidi="ar"/>
        </w:rPr>
        <w:t>）》。</w:t>
      </w:r>
    </w:p>
    <w:p>
      <w:pPr>
        <w:widowControl/>
        <w:tabs>
          <w:tab w:val="left" w:pos="2730"/>
        </w:tabs>
        <w:jc w:val="left"/>
        <w:outlineLvl w:val="1"/>
        <w:rPr>
          <w:rFonts w:ascii="Times New Roman" w:hAnsi="Times New Roman" w:eastAsia="黑体" w:cs="Times New Roman"/>
          <w:kern w:val="0"/>
          <w:sz w:val="31"/>
          <w:szCs w:val="31"/>
          <w:lang w:bidi="ar"/>
        </w:rPr>
      </w:pPr>
      <w:r>
        <w:rPr>
          <w:rFonts w:ascii="Times New Roman" w:hAnsi="Times New Roman" w:eastAsia="黑体" w:cs="Times New Roman"/>
          <w:kern w:val="0"/>
          <w:sz w:val="31"/>
          <w:szCs w:val="31"/>
          <w:lang w:bidi="ar"/>
        </w:rPr>
        <w:t>二、基本情况</w:t>
      </w:r>
    </w:p>
    <w:p>
      <w:pPr>
        <w:overflowPunct w:val="0"/>
        <w:spacing w:line="600" w:lineRule="exact"/>
        <w:ind w:firstLine="620" w:firstLineChars="200"/>
        <w:jc w:val="left"/>
        <w:rPr>
          <w:rFonts w:ascii="Times New Roman" w:hAnsi="Times New Roman" w:eastAsia="仿宋_GB2312" w:cs="Times New Roman"/>
          <w:kern w:val="0"/>
          <w:sz w:val="31"/>
          <w:szCs w:val="31"/>
          <w:lang w:bidi="ar"/>
        </w:rPr>
      </w:pPr>
      <w:r>
        <w:rPr>
          <w:rFonts w:ascii="Times New Roman" w:hAnsi="Times New Roman" w:eastAsia="仿宋_GB2312" w:cs="Times New Roman"/>
          <w:kern w:val="0"/>
          <w:sz w:val="31"/>
          <w:szCs w:val="31"/>
          <w:lang w:bidi="ar"/>
        </w:rPr>
        <w:t>本方案涉及仙游县</w:t>
      </w:r>
      <w:r>
        <w:rPr>
          <w:rFonts w:hint="eastAsia" w:ascii="Times New Roman" w:hAnsi="Times New Roman" w:eastAsia="仿宋_GB2312" w:cs="Times New Roman"/>
          <w:kern w:val="0"/>
          <w:sz w:val="31"/>
          <w:szCs w:val="31"/>
          <w:lang w:eastAsia="zh-CN" w:bidi="ar"/>
        </w:rPr>
        <w:t>榜头镇龙腾社区、紫泽社区</w:t>
      </w:r>
      <w:r>
        <w:rPr>
          <w:rFonts w:ascii="Times New Roman" w:hAnsi="Times New Roman" w:eastAsia="仿宋_GB2312" w:cs="Times New Roman"/>
          <w:kern w:val="0"/>
          <w:sz w:val="31"/>
          <w:szCs w:val="31"/>
          <w:lang w:bidi="ar"/>
        </w:rPr>
        <w:t>，共</w:t>
      </w:r>
      <w:r>
        <w:rPr>
          <w:rFonts w:hint="eastAsia" w:ascii="Times New Roman" w:hAnsi="Times New Roman" w:eastAsia="仿宋_GB2312" w:cs="Times New Roman"/>
          <w:kern w:val="0"/>
          <w:sz w:val="31"/>
          <w:szCs w:val="31"/>
          <w:lang w:val="en-US" w:eastAsia="zh-CN" w:bidi="ar"/>
        </w:rPr>
        <w:t>1</w:t>
      </w:r>
      <w:r>
        <w:rPr>
          <w:rFonts w:ascii="Times New Roman" w:hAnsi="Times New Roman" w:eastAsia="仿宋_GB2312" w:cs="Times New Roman"/>
          <w:kern w:val="0"/>
          <w:sz w:val="31"/>
          <w:szCs w:val="31"/>
          <w:lang w:bidi="ar"/>
        </w:rPr>
        <w:t>个镇</w:t>
      </w:r>
      <w:r>
        <w:rPr>
          <w:rFonts w:hint="eastAsia" w:ascii="Times New Roman" w:hAnsi="Times New Roman" w:eastAsia="仿宋_GB2312" w:cs="Times New Roman"/>
          <w:kern w:val="0"/>
          <w:sz w:val="31"/>
          <w:szCs w:val="31"/>
          <w:lang w:val="en-US" w:eastAsia="zh-CN" w:bidi="ar"/>
        </w:rPr>
        <w:t>1</w:t>
      </w:r>
      <w:r>
        <w:rPr>
          <w:rFonts w:ascii="Times New Roman" w:hAnsi="Times New Roman" w:eastAsia="仿宋_GB2312" w:cs="Times New Roman"/>
          <w:kern w:val="0"/>
          <w:sz w:val="31"/>
          <w:szCs w:val="31"/>
          <w:lang w:bidi="ar"/>
        </w:rPr>
        <w:t>个</w:t>
      </w:r>
      <w:r>
        <w:rPr>
          <w:rFonts w:hint="eastAsia" w:ascii="Times New Roman" w:hAnsi="Times New Roman" w:eastAsia="仿宋_GB2312" w:cs="Times New Roman"/>
          <w:kern w:val="0"/>
          <w:sz w:val="31"/>
          <w:szCs w:val="31"/>
          <w:lang w:eastAsia="zh-CN" w:bidi="ar"/>
        </w:rPr>
        <w:t>社区</w:t>
      </w:r>
      <w:r>
        <w:rPr>
          <w:rFonts w:ascii="Times New Roman" w:hAnsi="Times New Roman" w:eastAsia="仿宋_GB2312" w:cs="Times New Roman"/>
          <w:kern w:val="0"/>
          <w:sz w:val="31"/>
          <w:szCs w:val="31"/>
          <w:lang w:bidi="ar"/>
        </w:rPr>
        <w:t>；涉及1个国有单位，不涉及省级和国家级开发区。</w:t>
      </w:r>
    </w:p>
    <w:p>
      <w:pPr>
        <w:overflowPunct w:val="0"/>
        <w:spacing w:line="600" w:lineRule="exact"/>
        <w:ind w:firstLine="620" w:firstLineChars="200"/>
        <w:jc w:val="left"/>
        <w:rPr>
          <w:rFonts w:ascii="Times New Roman" w:hAnsi="Times New Roman" w:eastAsia="仿宋_GB2312" w:cs="Times New Roman"/>
          <w:kern w:val="0"/>
          <w:sz w:val="31"/>
          <w:szCs w:val="31"/>
          <w:lang w:bidi="ar"/>
        </w:rPr>
      </w:pPr>
      <w:r>
        <w:rPr>
          <w:rFonts w:ascii="Times New Roman" w:hAnsi="Times New Roman" w:eastAsia="仿宋_GB2312" w:cs="Times New Roman"/>
          <w:kern w:val="0"/>
          <w:sz w:val="31"/>
          <w:szCs w:val="31"/>
          <w:lang w:bidi="ar"/>
        </w:rPr>
        <w:t>本方案成片开发范围总面积</w:t>
      </w:r>
      <w:r>
        <w:rPr>
          <w:rFonts w:hint="eastAsia" w:ascii="Times New Roman" w:hAnsi="Times New Roman" w:eastAsia="仿宋_GB2312" w:cs="Times New Roman"/>
          <w:kern w:val="0"/>
          <w:sz w:val="31"/>
          <w:szCs w:val="31"/>
          <w:lang w:bidi="ar"/>
        </w:rPr>
        <w:t>4.0</w:t>
      </w:r>
      <w:r>
        <w:rPr>
          <w:rFonts w:ascii="Times New Roman" w:hAnsi="Times New Roman" w:eastAsia="仿宋_GB2312" w:cs="Times New Roman"/>
          <w:kern w:val="0"/>
          <w:sz w:val="31"/>
          <w:szCs w:val="31"/>
          <w:lang w:bidi="ar"/>
        </w:rPr>
        <w:t>044公顷，其中：农用地</w:t>
      </w:r>
      <w:r>
        <w:rPr>
          <w:rFonts w:hint="eastAsia" w:ascii="Times New Roman" w:hAnsi="Times New Roman" w:eastAsia="仿宋_GB2312" w:cs="Times New Roman"/>
          <w:kern w:val="0"/>
          <w:sz w:val="31"/>
          <w:szCs w:val="31"/>
          <w:lang w:val="en-US" w:eastAsia="zh-CN" w:bidi="ar"/>
        </w:rPr>
        <w:t>1.4579</w:t>
      </w:r>
      <w:r>
        <w:rPr>
          <w:rFonts w:ascii="Times New Roman" w:hAnsi="Times New Roman" w:eastAsia="仿宋_GB2312" w:cs="Times New Roman"/>
          <w:kern w:val="0"/>
          <w:sz w:val="31"/>
          <w:szCs w:val="31"/>
          <w:lang w:bidi="ar"/>
        </w:rPr>
        <w:t>公顷（其中：耕地</w:t>
      </w:r>
      <w:r>
        <w:rPr>
          <w:rFonts w:hint="eastAsia" w:ascii="Times New Roman" w:hAnsi="Times New Roman" w:eastAsia="仿宋_GB2312" w:cs="Times New Roman"/>
          <w:kern w:val="0"/>
          <w:sz w:val="31"/>
          <w:szCs w:val="31"/>
          <w:lang w:bidi="ar"/>
        </w:rPr>
        <w:t>1.2</w:t>
      </w:r>
      <w:r>
        <w:rPr>
          <w:rFonts w:hint="eastAsia" w:ascii="Times New Roman" w:hAnsi="Times New Roman" w:eastAsia="仿宋_GB2312" w:cs="Times New Roman"/>
          <w:kern w:val="0"/>
          <w:sz w:val="31"/>
          <w:szCs w:val="31"/>
          <w:lang w:val="en-US" w:eastAsia="zh-CN" w:bidi="ar"/>
        </w:rPr>
        <w:t>467</w:t>
      </w:r>
      <w:r>
        <w:rPr>
          <w:rFonts w:ascii="Times New Roman" w:hAnsi="Times New Roman" w:eastAsia="仿宋_GB2312" w:cs="Times New Roman"/>
          <w:kern w:val="0"/>
          <w:sz w:val="31"/>
          <w:szCs w:val="31"/>
          <w:lang w:bidi="ar"/>
        </w:rPr>
        <w:t>公顷），建设用地</w:t>
      </w:r>
      <w:r>
        <w:rPr>
          <w:rFonts w:hint="eastAsia" w:ascii="Times New Roman" w:hAnsi="Times New Roman" w:eastAsia="仿宋_GB2312" w:cs="Times New Roman"/>
          <w:kern w:val="0"/>
          <w:sz w:val="31"/>
          <w:szCs w:val="31"/>
          <w:lang w:val="en-US" w:eastAsia="zh-CN" w:bidi="ar"/>
        </w:rPr>
        <w:t>1.8181</w:t>
      </w:r>
      <w:r>
        <w:rPr>
          <w:rFonts w:ascii="Times New Roman" w:hAnsi="Times New Roman" w:eastAsia="仿宋_GB2312" w:cs="Times New Roman"/>
          <w:kern w:val="0"/>
          <w:sz w:val="31"/>
          <w:szCs w:val="31"/>
          <w:lang w:bidi="ar"/>
        </w:rPr>
        <w:t>公顷</w:t>
      </w:r>
      <w:r>
        <w:rPr>
          <w:rFonts w:hint="eastAsia" w:ascii="Times New Roman" w:hAnsi="Times New Roman" w:eastAsia="仿宋_GB2312" w:cs="Times New Roman"/>
          <w:kern w:val="0"/>
          <w:sz w:val="31"/>
          <w:szCs w:val="31"/>
          <w:lang w:bidi="ar"/>
        </w:rPr>
        <w:t>，未利用地0</w:t>
      </w:r>
      <w:r>
        <w:rPr>
          <w:rFonts w:ascii="Times New Roman" w:hAnsi="Times New Roman" w:eastAsia="仿宋_GB2312" w:cs="Times New Roman"/>
          <w:kern w:val="0"/>
          <w:sz w:val="31"/>
          <w:szCs w:val="31"/>
          <w:lang w:bidi="ar"/>
        </w:rPr>
        <w:t>.7284</w:t>
      </w:r>
      <w:r>
        <w:rPr>
          <w:rFonts w:hint="eastAsia" w:ascii="Times New Roman" w:hAnsi="Times New Roman" w:eastAsia="仿宋_GB2312" w:cs="Times New Roman"/>
          <w:kern w:val="0"/>
          <w:sz w:val="31"/>
          <w:szCs w:val="31"/>
          <w:lang w:bidi="ar"/>
        </w:rPr>
        <w:t>公顷</w:t>
      </w:r>
      <w:r>
        <w:rPr>
          <w:rFonts w:ascii="Times New Roman" w:hAnsi="Times New Roman" w:eastAsia="仿宋_GB2312" w:cs="Times New Roman"/>
          <w:kern w:val="0"/>
          <w:sz w:val="31"/>
          <w:szCs w:val="31"/>
          <w:lang w:bidi="ar"/>
        </w:rPr>
        <w:t>。</w:t>
      </w:r>
    </w:p>
    <w:p>
      <w:pPr>
        <w:widowControl/>
        <w:tabs>
          <w:tab w:val="left" w:pos="2730"/>
        </w:tabs>
        <w:jc w:val="left"/>
        <w:outlineLvl w:val="1"/>
        <w:rPr>
          <w:rFonts w:ascii="Times New Roman" w:hAnsi="Times New Roman" w:eastAsia="黑体" w:cs="Times New Roman"/>
          <w:kern w:val="0"/>
          <w:sz w:val="31"/>
          <w:szCs w:val="31"/>
          <w:lang w:bidi="ar"/>
        </w:rPr>
      </w:pPr>
      <w:r>
        <w:rPr>
          <w:rFonts w:ascii="Times New Roman" w:hAnsi="Times New Roman" w:eastAsia="黑体" w:cs="Times New Roman"/>
          <w:kern w:val="0"/>
          <w:sz w:val="31"/>
          <w:szCs w:val="31"/>
          <w:lang w:bidi="ar"/>
        </w:rPr>
        <w:t>三、项目的必要性</w:t>
      </w:r>
    </w:p>
    <w:p>
      <w:pPr>
        <w:keepNext/>
        <w:keepLines/>
        <w:pageBreakBefore w:val="0"/>
        <w:widowControl w:val="0"/>
        <w:kinsoku/>
        <w:wordWrap/>
        <w:overflowPunct/>
        <w:topLinePunct w:val="0"/>
        <w:autoSpaceDE/>
        <w:autoSpaceDN/>
        <w:bidi w:val="0"/>
        <w:adjustRightInd/>
        <w:snapToGrid/>
        <w:spacing w:before="120" w:after="120"/>
        <w:ind w:firstLine="602"/>
        <w:textAlignment w:val="auto"/>
        <w:outlineLvl w:val="9"/>
        <w:rPr>
          <w:rFonts w:hint="eastAsia" w:ascii="仿宋" w:hAnsi="仿宋" w:eastAsia="仿宋" w:cs="仿宋"/>
          <w:b/>
          <w:bCs/>
          <w:color w:val="auto"/>
          <w:kern w:val="0"/>
          <w:sz w:val="30"/>
          <w:szCs w:val="30"/>
          <w:highlight w:val="none"/>
        </w:rPr>
      </w:pPr>
      <w:r>
        <w:rPr>
          <w:rFonts w:hint="eastAsia" w:ascii="仿宋" w:hAnsi="仿宋" w:eastAsia="仿宋" w:cs="仿宋"/>
          <w:b/>
          <w:bCs/>
          <w:color w:val="auto"/>
          <w:kern w:val="0"/>
          <w:sz w:val="30"/>
          <w:szCs w:val="30"/>
          <w:lang w:eastAsia="zh-CN"/>
        </w:rPr>
        <w:t>（一）</w:t>
      </w:r>
      <w:r>
        <w:rPr>
          <w:rFonts w:hint="eastAsia" w:ascii="Times New Roman" w:hAnsi="Times New Roman" w:eastAsia="仿宋"/>
          <w:b/>
          <w:bCs/>
          <w:kern w:val="0"/>
          <w:sz w:val="30"/>
          <w:szCs w:val="30"/>
          <w:highlight w:val="none"/>
        </w:rPr>
        <w:t>扩展乡镇发展空间，城乡发展更加融合</w:t>
      </w:r>
    </w:p>
    <w:p>
      <w:pPr>
        <w:overflowPunct w:val="0"/>
        <w:spacing w:line="600" w:lineRule="exact"/>
        <w:ind w:firstLine="620" w:firstLineChars="200"/>
        <w:jc w:val="left"/>
        <w:rPr>
          <w:rFonts w:hint="eastAsia" w:ascii="Times New Roman" w:hAnsi="Times New Roman" w:eastAsia="仿宋_GB2312" w:cs="Times New Roman"/>
          <w:kern w:val="0"/>
          <w:sz w:val="31"/>
          <w:szCs w:val="31"/>
          <w:lang w:val="en-US" w:eastAsia="zh-CN" w:bidi="ar"/>
        </w:rPr>
      </w:pPr>
      <w:r>
        <w:rPr>
          <w:rFonts w:hint="eastAsia" w:ascii="Times New Roman" w:hAnsi="Times New Roman" w:eastAsia="仿宋_GB2312" w:cs="Times New Roman"/>
          <w:kern w:val="0"/>
          <w:sz w:val="31"/>
          <w:szCs w:val="31"/>
          <w:lang w:val="en-US" w:eastAsia="zh-CN" w:bidi="ar"/>
        </w:rPr>
        <w:t>本方案选址位于仙游县榜头镇木兰溪流域北侧，地处龙腾路，南侧紧邻镇区纬二路、滨溪大道，片区道路与木兰大道、国省干道纵三线相连接，交通便利，据统计，该片区日均流动车辆1500辆。榜头镇作为中国古典家具之都、省级历史文化名镇，围绕红木古典家具家具核心产业，促进“工艺+”“旅游+”“创意+”“数字+”多业态产业融合发展，根据《仙游县国民经济和社会发展第十四个五年规划和二〇三五年远景目标纲要》，将全面推进榜头新区开发建设，打造商贸发达、产业鲜明的新型城镇。该片区距离榜头镇镇中心3公里、距离中国坝下工艺城3.5公里、仙游县城区5公里，该片区的建设将进一步促进城乡一体化发展，依托城区和中心集镇带动农村发展，加快城乡融合发展。此外该片区的建设有助于完善城市公共服务设施，打造完整社区，带动周边区域协调发展。</w:t>
      </w:r>
    </w:p>
    <w:p>
      <w:pPr>
        <w:keepNext/>
        <w:keepLines/>
        <w:pageBreakBefore w:val="0"/>
        <w:widowControl w:val="0"/>
        <w:kinsoku/>
        <w:wordWrap/>
        <w:overflowPunct/>
        <w:topLinePunct w:val="0"/>
        <w:autoSpaceDE/>
        <w:autoSpaceDN/>
        <w:bidi w:val="0"/>
        <w:adjustRightInd/>
        <w:snapToGrid/>
        <w:spacing w:before="120" w:after="120"/>
        <w:ind w:firstLine="602"/>
        <w:textAlignment w:val="auto"/>
        <w:outlineLvl w:val="9"/>
        <w:rPr>
          <w:rFonts w:hint="eastAsia" w:ascii="仿宋" w:hAnsi="仿宋" w:eastAsia="仿宋" w:cs="仿宋"/>
          <w:b/>
          <w:bCs/>
          <w:color w:val="auto"/>
          <w:kern w:val="0"/>
          <w:sz w:val="30"/>
          <w:szCs w:val="30"/>
        </w:rPr>
      </w:pPr>
      <w:r>
        <w:rPr>
          <w:rFonts w:hint="eastAsia" w:ascii="仿宋" w:hAnsi="仿宋" w:eastAsia="仿宋" w:cs="仿宋"/>
          <w:b/>
          <w:bCs/>
          <w:color w:val="auto"/>
          <w:kern w:val="0"/>
          <w:sz w:val="30"/>
          <w:szCs w:val="30"/>
          <w:lang w:eastAsia="zh-CN"/>
        </w:rPr>
        <w:t>（二）</w:t>
      </w:r>
      <w:r>
        <w:rPr>
          <w:rFonts w:hint="eastAsia" w:ascii="Times New Roman" w:hAnsi="Times New Roman" w:eastAsia="仿宋"/>
          <w:b/>
          <w:bCs/>
          <w:kern w:val="0"/>
          <w:sz w:val="30"/>
          <w:szCs w:val="30"/>
          <w:highlight w:val="none"/>
        </w:rPr>
        <w:t>构建现代直播电商产业，完善周边配套设施</w:t>
      </w:r>
    </w:p>
    <w:p>
      <w:pPr>
        <w:overflowPunct w:val="0"/>
        <w:spacing w:line="600" w:lineRule="exact"/>
        <w:ind w:firstLine="620" w:firstLineChars="200"/>
        <w:jc w:val="left"/>
        <w:rPr>
          <w:rFonts w:hint="eastAsia" w:ascii="Times New Roman" w:hAnsi="Times New Roman" w:eastAsia="仿宋_GB2312" w:cs="Times New Roman"/>
          <w:kern w:val="0"/>
          <w:sz w:val="31"/>
          <w:szCs w:val="31"/>
          <w:lang w:val="en-US" w:eastAsia="zh-CN" w:bidi="ar"/>
        </w:rPr>
      </w:pPr>
      <w:r>
        <w:rPr>
          <w:rFonts w:hint="eastAsia" w:ascii="Times New Roman" w:hAnsi="Times New Roman" w:eastAsia="仿宋_GB2312" w:cs="Times New Roman"/>
          <w:kern w:val="0"/>
          <w:sz w:val="31"/>
          <w:szCs w:val="31"/>
          <w:lang w:val="en-US" w:eastAsia="zh-CN" w:bidi="ar"/>
        </w:rPr>
        <w:t>传统红木古典家具企业积极探索直播模式、打造全国工艺第一直播之都，推进工艺美术直播电商产业快速发展，形成了一批“产业＋直播”的电商基地。我县拟规划建设综合物流中心和区域物流中心，联合仙游物流企业、整合电商产业链、优化电商产业资源，打造一座集直播、展销、仓储、交易、运输为一体的京东辉特电商物流基地。该片区距离京东（仙游）数字经济产业园基地1公里，该片区的建设，进一步完善电商物流服务业的发展。</w:t>
      </w:r>
    </w:p>
    <w:p>
      <w:pPr>
        <w:spacing w:beforeLines="0" w:afterLines="0"/>
        <w:ind w:firstLine="482" w:firstLineChars="200"/>
        <w:jc w:val="left"/>
        <w:rPr>
          <w:rFonts w:hint="eastAsia" w:ascii="仿宋" w:hAnsi="仿宋" w:eastAsia="仿宋" w:cs="仿宋"/>
          <w:b/>
          <w:bCs/>
          <w:color w:val="auto"/>
          <w:kern w:val="0"/>
          <w:sz w:val="30"/>
          <w:szCs w:val="30"/>
          <w:lang w:eastAsia="zh-CN"/>
        </w:rPr>
      </w:pPr>
      <w:r>
        <w:rPr>
          <w:rFonts w:hint="eastAsia" w:ascii="MicrosoftYaHei" w:hAnsi="MicrosoftYaHei" w:eastAsia="MicrosoftYaHei"/>
          <w:b/>
          <w:bCs/>
          <w:color w:val="auto"/>
          <w:sz w:val="24"/>
          <w:szCs w:val="24"/>
          <w:lang w:val="en-US" w:eastAsia="zh-CN"/>
        </w:rPr>
        <w:t>（三）</w:t>
      </w:r>
      <w:r>
        <w:rPr>
          <w:rFonts w:hint="eastAsia" w:ascii="Times New Roman" w:hAnsi="Times New Roman" w:eastAsia="仿宋"/>
          <w:b/>
          <w:bCs/>
          <w:kern w:val="0"/>
          <w:sz w:val="30"/>
          <w:szCs w:val="30"/>
          <w:highlight w:val="none"/>
        </w:rPr>
        <w:t>缓解充电基础设施供给不足</w:t>
      </w:r>
    </w:p>
    <w:p>
      <w:pPr>
        <w:overflowPunct w:val="0"/>
        <w:spacing w:line="600" w:lineRule="exact"/>
        <w:ind w:firstLine="620" w:firstLineChars="200"/>
        <w:jc w:val="left"/>
        <w:rPr>
          <w:rFonts w:hint="eastAsia" w:ascii="Times New Roman" w:hAnsi="Times New Roman" w:eastAsia="仿宋_GB2312" w:cs="Times New Roman"/>
          <w:kern w:val="0"/>
          <w:sz w:val="31"/>
          <w:szCs w:val="31"/>
          <w:lang w:val="en-US" w:eastAsia="zh-CN" w:bidi="ar"/>
        </w:rPr>
      </w:pPr>
      <w:r>
        <w:rPr>
          <w:rFonts w:hint="eastAsia" w:ascii="Times New Roman" w:hAnsi="Times New Roman" w:eastAsia="仿宋_GB2312" w:cs="Times New Roman"/>
          <w:kern w:val="0"/>
          <w:sz w:val="31"/>
          <w:szCs w:val="31"/>
          <w:lang w:val="en-US" w:eastAsia="zh-CN" w:bidi="ar"/>
        </w:rPr>
        <w:t>根据《仙游县充电站专项规划》该区域布局综合型加油、充换电站二站合一综合服务站。随着新能源汽车的普及，大力发展电动汽车能够加快燃油替代、减少尾气排放，对于能源安全、节能减排、防治大气污染具有重要意义。城南片区率先推进集中式充电站基础设施建设，是加快电动汽车推广应用的重要举措。即可提供城南电动公交运营需求，又满足社会纯电动汽车的充电需求。缓解中心城区充电基础设施供给不足。</w:t>
      </w:r>
    </w:p>
    <w:p>
      <w:pPr>
        <w:widowControl/>
        <w:tabs>
          <w:tab w:val="left" w:pos="2730"/>
        </w:tabs>
        <w:jc w:val="left"/>
        <w:outlineLvl w:val="1"/>
        <w:rPr>
          <w:rFonts w:ascii="Times New Roman" w:hAnsi="Times New Roman" w:eastAsia="黑体" w:cs="Times New Roman"/>
          <w:kern w:val="0"/>
          <w:sz w:val="31"/>
          <w:szCs w:val="31"/>
          <w:lang w:bidi="ar"/>
        </w:rPr>
      </w:pPr>
      <w:r>
        <w:rPr>
          <w:rFonts w:ascii="Times New Roman" w:hAnsi="Times New Roman" w:eastAsia="黑体" w:cs="Times New Roman"/>
          <w:kern w:val="0"/>
          <w:sz w:val="31"/>
          <w:szCs w:val="31"/>
          <w:lang w:bidi="ar"/>
        </w:rPr>
        <w:t>四、规划土地用途及实现功能分析</w:t>
      </w:r>
    </w:p>
    <w:p>
      <w:pPr>
        <w:overflowPunct w:val="0"/>
        <w:spacing w:line="600" w:lineRule="exact"/>
        <w:ind w:firstLine="620" w:firstLineChars="200"/>
        <w:jc w:val="left"/>
        <w:rPr>
          <w:rFonts w:hint="eastAsia" w:ascii="Times New Roman" w:hAnsi="Times New Roman" w:eastAsia="仿宋_GB2312" w:cs="Times New Roman"/>
          <w:kern w:val="0"/>
          <w:sz w:val="31"/>
          <w:szCs w:val="31"/>
          <w:lang w:val="en-US" w:eastAsia="zh-CN" w:bidi="ar"/>
        </w:rPr>
      </w:pPr>
      <w:r>
        <w:rPr>
          <w:rFonts w:hint="eastAsia" w:ascii="Times New Roman" w:hAnsi="Times New Roman" w:eastAsia="仿宋_GB2312" w:cs="Times New Roman"/>
          <w:kern w:val="0"/>
          <w:sz w:val="31"/>
          <w:szCs w:val="31"/>
          <w:lang w:val="en-US" w:eastAsia="zh-CN" w:bidi="ar"/>
        </w:rPr>
        <w:t>本方案用地总面积4.0044公顷，主要用途为商业服务业用地。其中商业服务业用地</w:t>
      </w:r>
      <w:bookmarkStart w:id="0" w:name="_Hlk62284215"/>
      <w:r>
        <w:rPr>
          <w:rFonts w:hint="eastAsia" w:ascii="Times New Roman" w:hAnsi="Times New Roman" w:eastAsia="仿宋_GB2312" w:cs="Times New Roman"/>
          <w:kern w:val="0"/>
          <w:sz w:val="31"/>
          <w:szCs w:val="31"/>
          <w:lang w:val="en-US" w:eastAsia="zh-CN" w:bidi="ar"/>
        </w:rPr>
        <w:t>面积</w:t>
      </w:r>
      <w:bookmarkEnd w:id="0"/>
      <w:bookmarkStart w:id="1" w:name="_Hlk62284222"/>
      <w:r>
        <w:rPr>
          <w:rFonts w:hint="eastAsia" w:ascii="Times New Roman" w:hAnsi="Times New Roman" w:eastAsia="仿宋_GB2312" w:cs="Times New Roman"/>
          <w:kern w:val="0"/>
          <w:sz w:val="31"/>
          <w:szCs w:val="31"/>
          <w:lang w:val="en-US" w:eastAsia="zh-CN" w:bidi="ar"/>
        </w:rPr>
        <w:t>0.6632公顷</w:t>
      </w:r>
      <w:bookmarkEnd w:id="1"/>
      <w:r>
        <w:rPr>
          <w:rFonts w:hint="eastAsia" w:ascii="Times New Roman" w:hAnsi="Times New Roman" w:eastAsia="仿宋_GB2312" w:cs="Times New Roman"/>
          <w:kern w:val="0"/>
          <w:sz w:val="31"/>
          <w:szCs w:val="31"/>
          <w:lang w:val="en-US" w:eastAsia="zh-CN" w:bidi="ar"/>
        </w:rPr>
        <w:t>，实现加油、充换电站、电信、邮政、供水、燃气、供电、供热等功能。交通运输用地，面积1.6721公顷，促进片区的内外交通优化，加强区内交通联系功能，缓解停车压力；绿地与开敞空间用地，面积0.9407公顷，实现美化环境，降低污染功能。陆地水域用地，面积0.7284公顷，实现排水防涝功能。</w:t>
      </w:r>
    </w:p>
    <w:p>
      <w:pPr>
        <w:widowControl/>
        <w:tabs>
          <w:tab w:val="left" w:pos="2730"/>
        </w:tabs>
        <w:jc w:val="left"/>
        <w:outlineLvl w:val="1"/>
        <w:rPr>
          <w:rFonts w:ascii="Times New Roman" w:hAnsi="Times New Roman" w:eastAsia="黑体" w:cs="Times New Roman"/>
          <w:kern w:val="0"/>
          <w:sz w:val="31"/>
          <w:szCs w:val="31"/>
          <w:lang w:bidi="ar"/>
        </w:rPr>
      </w:pPr>
      <w:r>
        <w:rPr>
          <w:rFonts w:ascii="Times New Roman" w:hAnsi="Times New Roman" w:eastAsia="黑体" w:cs="Times New Roman"/>
          <w:kern w:val="0"/>
          <w:sz w:val="31"/>
          <w:szCs w:val="31"/>
          <w:lang w:bidi="ar"/>
        </w:rPr>
        <w:t>五、公益性用地情况</w:t>
      </w:r>
    </w:p>
    <w:p>
      <w:pPr>
        <w:overflowPunct w:val="0"/>
        <w:spacing w:line="600" w:lineRule="exact"/>
        <w:ind w:firstLine="620" w:firstLineChars="200"/>
        <w:jc w:val="left"/>
        <w:rPr>
          <w:rFonts w:hint="eastAsia" w:ascii="Times New Roman" w:hAnsi="Times New Roman" w:eastAsia="仿宋_GB2312" w:cs="Times New Roman"/>
          <w:kern w:val="0"/>
          <w:sz w:val="31"/>
          <w:szCs w:val="31"/>
          <w:lang w:val="en-US" w:eastAsia="zh-CN" w:bidi="ar"/>
        </w:rPr>
      </w:pPr>
      <w:r>
        <w:rPr>
          <w:rFonts w:hint="eastAsia" w:ascii="Times New Roman" w:hAnsi="Times New Roman" w:eastAsia="仿宋_GB2312" w:cs="Times New Roman"/>
          <w:kern w:val="0"/>
          <w:sz w:val="31"/>
          <w:szCs w:val="31"/>
          <w:lang w:val="en-US" w:eastAsia="zh-CN" w:bidi="ar"/>
        </w:rPr>
        <w:t>公益性用地包含交通运输用地、绿地与开敞空间用地、水域用地，合计3.3412公顷，占用地总面积的83.44%，符合自然资规〔2020〕5号文规定。</w:t>
      </w:r>
    </w:p>
    <w:p>
      <w:pPr>
        <w:widowControl/>
        <w:tabs>
          <w:tab w:val="left" w:pos="2730"/>
        </w:tabs>
        <w:jc w:val="left"/>
        <w:outlineLvl w:val="1"/>
        <w:rPr>
          <w:rFonts w:ascii="Times New Roman" w:hAnsi="Times New Roman" w:eastAsia="黑体" w:cs="Times New Roman"/>
          <w:kern w:val="0"/>
          <w:sz w:val="31"/>
          <w:szCs w:val="31"/>
          <w:lang w:bidi="ar"/>
        </w:rPr>
      </w:pPr>
      <w:r>
        <w:rPr>
          <w:rFonts w:ascii="Times New Roman" w:hAnsi="Times New Roman" w:eastAsia="黑体" w:cs="Times New Roman"/>
          <w:kern w:val="0"/>
          <w:sz w:val="31"/>
          <w:szCs w:val="31"/>
          <w:lang w:bidi="ar"/>
        </w:rPr>
        <w:t>六、规划符合情况</w:t>
      </w:r>
    </w:p>
    <w:p>
      <w:pPr>
        <w:adjustRightInd w:val="0"/>
        <w:snapToGrid w:val="0"/>
        <w:spacing w:line="600" w:lineRule="exact"/>
        <w:ind w:firstLine="620" w:firstLineChars="200"/>
        <w:rPr>
          <w:rFonts w:ascii="Times New Roman" w:hAnsi="Times New Roman" w:eastAsia="仿宋_GB2312" w:cs="Times New Roman"/>
          <w:sz w:val="32"/>
          <w:szCs w:val="32"/>
        </w:rPr>
      </w:pPr>
      <w:r>
        <w:rPr>
          <w:rFonts w:ascii="Times New Roman" w:hAnsi="Times New Roman" w:eastAsia="仿宋_GB2312" w:cs="Times New Roman"/>
          <w:kern w:val="0"/>
          <w:sz w:val="31"/>
          <w:szCs w:val="31"/>
          <w:lang w:bidi="ar"/>
        </w:rPr>
        <w:t>本方案符合国民经济和社会发展规划的发展定位、要求，有利于完成规划目标、任务，已纳入国民经济和社会发展年度计划。</w:t>
      </w:r>
      <w:r>
        <w:rPr>
          <w:rFonts w:ascii="Times New Roman" w:hAnsi="Times New Roman" w:eastAsia="仿宋_GB2312" w:cs="Times New Roman"/>
          <w:sz w:val="32"/>
          <w:szCs w:val="32"/>
        </w:rPr>
        <w:t>本方案已纳入最新上报的城镇开发边界的集中建设区内，仙游县人民政府承诺，将土地征收成片开发范围纳入过渡期城镇开发边界及国土空间规划确定的城镇开发边界内的集中建设区，并符合规划管控要求。</w:t>
      </w:r>
    </w:p>
    <w:p>
      <w:pPr>
        <w:widowControl/>
        <w:tabs>
          <w:tab w:val="left" w:pos="2730"/>
        </w:tabs>
        <w:jc w:val="left"/>
        <w:outlineLvl w:val="1"/>
        <w:rPr>
          <w:rFonts w:ascii="Times New Roman" w:hAnsi="Times New Roman" w:eastAsia="黑体" w:cs="Times New Roman"/>
          <w:kern w:val="0"/>
          <w:sz w:val="31"/>
          <w:szCs w:val="31"/>
          <w:lang w:bidi="ar"/>
        </w:rPr>
      </w:pPr>
      <w:r>
        <w:rPr>
          <w:rFonts w:hint="eastAsia" w:ascii="Times New Roman" w:hAnsi="Times New Roman" w:eastAsia="黑体" w:cs="Times New Roman"/>
          <w:kern w:val="0"/>
          <w:sz w:val="31"/>
          <w:szCs w:val="31"/>
          <w:lang w:bidi="ar"/>
        </w:rPr>
        <w:t>七</w:t>
      </w:r>
      <w:r>
        <w:rPr>
          <w:rFonts w:ascii="Times New Roman" w:hAnsi="Times New Roman" w:eastAsia="黑体" w:cs="Times New Roman"/>
          <w:kern w:val="0"/>
          <w:sz w:val="31"/>
          <w:szCs w:val="31"/>
          <w:lang w:bidi="ar"/>
        </w:rPr>
        <w:t>、效益评估</w:t>
      </w:r>
    </w:p>
    <w:p>
      <w:pPr>
        <w:spacing w:line="600" w:lineRule="exact"/>
        <w:ind w:firstLine="620" w:firstLineChars="200"/>
        <w:rPr>
          <w:rFonts w:eastAsia="仿宋_GB2312"/>
          <w:sz w:val="32"/>
          <w:szCs w:val="32"/>
        </w:rPr>
      </w:pPr>
      <w:r>
        <w:rPr>
          <w:rFonts w:ascii="Times New Roman" w:hAnsi="Times New Roman" w:eastAsia="仿宋_GB2312" w:cs="Times New Roman"/>
          <w:kern w:val="0"/>
          <w:sz w:val="31"/>
          <w:szCs w:val="31"/>
          <w:lang w:bidi="ar"/>
        </w:rPr>
        <w:t>（一）土地利用效益：</w:t>
      </w:r>
      <w:r>
        <w:rPr>
          <w:rFonts w:ascii="Times New Roman" w:hAnsi="Times New Roman" w:eastAsia="仿宋_GB2312" w:cs="Times New Roman"/>
          <w:sz w:val="32"/>
          <w:szCs w:val="32"/>
        </w:rPr>
        <w:t>通过土地利用开发，</w:t>
      </w:r>
      <w:r>
        <w:rPr>
          <w:rFonts w:eastAsia="仿宋_GB2312"/>
          <w:sz w:val="32"/>
          <w:szCs w:val="32"/>
        </w:rPr>
        <w:t>可以有效整合区域内土地资源，促进土地资源要素的统筹利用，科学合理布局各类用地，有效推动土地集约、节约利用。</w:t>
      </w:r>
    </w:p>
    <w:p>
      <w:pPr>
        <w:pStyle w:val="6"/>
        <w:spacing w:before="120" w:after="120"/>
        <w:ind w:firstLine="622" w:firstLineChars="200"/>
        <w:rPr>
          <w:rFonts w:hint="eastAsia" w:ascii="Times New Roman" w:hAnsi="Times New Roman" w:eastAsia="仿宋"/>
          <w:b w:val="0"/>
          <w:bCs w:val="0"/>
          <w:kern w:val="0"/>
          <w:sz w:val="30"/>
          <w:szCs w:val="30"/>
          <w:highlight w:val="yellow"/>
          <w:lang w:eastAsia="zh-CN"/>
        </w:rPr>
      </w:pPr>
      <w:r>
        <w:rPr>
          <w:rFonts w:ascii="Times New Roman" w:hAnsi="Times New Roman" w:eastAsia="仿宋_GB2312" w:cs="Times New Roman"/>
          <w:kern w:val="0"/>
          <w:sz w:val="31"/>
          <w:szCs w:val="31"/>
          <w:lang w:bidi="ar"/>
        </w:rPr>
        <w:t>（</w:t>
      </w:r>
      <w:r>
        <w:rPr>
          <w:rFonts w:eastAsia="仿宋_GB2312" w:asciiTheme="minorHAnsi" w:hAnsiTheme="minorHAnsi" w:cstheme="minorBidi"/>
          <w:b w:val="0"/>
          <w:bCs w:val="0"/>
          <w:kern w:val="2"/>
          <w:sz w:val="32"/>
          <w:szCs w:val="32"/>
          <w:lang w:val="en-US" w:eastAsia="zh-CN" w:bidi="ar-SA"/>
        </w:rPr>
        <w:t>二）经济效益：本方案</w:t>
      </w:r>
      <w:r>
        <w:rPr>
          <w:rFonts w:hint="eastAsia" w:eastAsia="仿宋_GB2312" w:asciiTheme="minorHAnsi" w:hAnsiTheme="minorHAnsi" w:cstheme="minorBidi"/>
          <w:b w:val="0"/>
          <w:bCs w:val="0"/>
          <w:kern w:val="2"/>
          <w:sz w:val="32"/>
          <w:szCs w:val="32"/>
          <w:lang w:val="en-US" w:eastAsia="zh-CN" w:bidi="ar-SA"/>
        </w:rPr>
        <w:t>预计可创造税收不低于500万元，带来新的税收增长点，增强企业的市场竞争力，提高经济效益。</w:t>
      </w:r>
    </w:p>
    <w:p>
      <w:pPr>
        <w:snapToGrid w:val="0"/>
        <w:spacing w:line="600" w:lineRule="exact"/>
        <w:ind w:firstLine="620" w:firstLineChars="200"/>
        <w:rPr>
          <w:rFonts w:ascii="Times New Roman" w:hAnsi="Times New Roman" w:eastAsia="仿宋_GB2312" w:cs="Times New Roman"/>
          <w:sz w:val="32"/>
          <w:szCs w:val="32"/>
          <w:shd w:val="clear" w:color="auto" w:fill="FFFFFF"/>
        </w:rPr>
      </w:pPr>
      <w:r>
        <w:rPr>
          <w:rFonts w:ascii="Times New Roman" w:hAnsi="Times New Roman" w:eastAsia="仿宋_GB2312" w:cs="Times New Roman"/>
          <w:kern w:val="0"/>
          <w:sz w:val="31"/>
          <w:szCs w:val="31"/>
          <w:lang w:bidi="ar"/>
        </w:rPr>
        <w:t>（三）社会效益：本方案的实施</w:t>
      </w:r>
      <w:r>
        <w:rPr>
          <w:rFonts w:ascii="Times New Roman" w:hAnsi="Times New Roman" w:eastAsia="仿宋_GB2312" w:cs="Times New Roman"/>
          <w:sz w:val="32"/>
          <w:szCs w:val="32"/>
          <w:shd w:val="clear" w:color="auto" w:fill="FFFFFF"/>
        </w:rPr>
        <w:t>有利于完善基础设施；</w:t>
      </w:r>
      <w:r>
        <w:rPr>
          <w:rFonts w:hint="eastAsia" w:ascii="Times New Roman" w:hAnsi="Times New Roman" w:eastAsia="仿宋_GB2312" w:cs="Times New Roman"/>
          <w:kern w:val="0"/>
          <w:sz w:val="31"/>
          <w:szCs w:val="31"/>
          <w:lang w:bidi="ar"/>
        </w:rPr>
        <w:t>有利于</w:t>
      </w:r>
      <w:r>
        <w:rPr>
          <w:rFonts w:ascii="Times New Roman" w:hAnsi="Times New Roman" w:eastAsia="仿宋_GB2312" w:cs="Times New Roman"/>
          <w:sz w:val="32"/>
          <w:szCs w:val="32"/>
          <w:shd w:val="clear" w:color="auto" w:fill="FFFFFF"/>
        </w:rPr>
        <w:t>增加就业机</w:t>
      </w:r>
      <w:r>
        <w:rPr>
          <w:rFonts w:ascii="Times New Roman" w:hAnsi="Times New Roman" w:eastAsia="仿宋_GB2312" w:cs="Times New Roman"/>
          <w:sz w:val="32"/>
          <w:szCs w:val="32"/>
          <w:shd w:val="clear" w:color="auto" w:fill="FFFFFF"/>
        </w:rPr>
        <w:t>会，提高居民人均收入。</w:t>
      </w:r>
    </w:p>
    <w:p>
      <w:pPr>
        <w:snapToGrid w:val="0"/>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shd w:val="clear" w:color="auto" w:fill="FFFFFF"/>
        </w:rPr>
        <w:t>（四）生态效益：</w:t>
      </w:r>
      <w:r>
        <w:rPr>
          <w:rFonts w:hint="eastAsia" w:ascii="Times New Roman" w:hAnsi="Times New Roman" w:eastAsia="仿宋_GB2312" w:cs="Times New Roman"/>
          <w:sz w:val="32"/>
          <w:szCs w:val="32"/>
          <w:shd w:val="clear" w:color="auto" w:fill="FFFFFF"/>
        </w:rPr>
        <w:t>本方案土地征收成片开发范围内，绿地与开敞空间用地面积为</w:t>
      </w:r>
      <w:r>
        <w:rPr>
          <w:rFonts w:ascii="Times New Roman" w:hAnsi="Times New Roman" w:eastAsia="仿宋_GB2312" w:cs="Times New Roman"/>
          <w:sz w:val="32"/>
          <w:szCs w:val="32"/>
          <w:shd w:val="clear" w:color="auto" w:fill="FFFFFF"/>
        </w:rPr>
        <w:t>0.</w:t>
      </w:r>
      <w:r>
        <w:rPr>
          <w:rFonts w:hint="eastAsia" w:ascii="Times New Roman" w:hAnsi="Times New Roman" w:eastAsia="仿宋_GB2312" w:cs="Times New Roman"/>
          <w:sz w:val="32"/>
          <w:szCs w:val="32"/>
          <w:shd w:val="clear" w:color="auto" w:fill="FFFFFF"/>
          <w:lang w:val="en-US" w:eastAsia="zh-CN"/>
        </w:rPr>
        <w:t>9407</w:t>
      </w:r>
      <w:r>
        <w:rPr>
          <w:rFonts w:hint="eastAsia" w:ascii="Times New Roman" w:hAnsi="Times New Roman" w:eastAsia="仿宋_GB2312" w:cs="Times New Roman"/>
          <w:sz w:val="32"/>
          <w:szCs w:val="32"/>
          <w:shd w:val="clear" w:color="auto" w:fill="FFFFFF"/>
        </w:rPr>
        <w:t>公顷，占方案范围总面积比例达</w:t>
      </w:r>
      <w:r>
        <w:rPr>
          <w:rFonts w:hint="eastAsia" w:ascii="Times New Roman" w:hAnsi="Times New Roman" w:eastAsia="仿宋_GB2312" w:cs="Times New Roman"/>
          <w:sz w:val="32"/>
          <w:szCs w:val="32"/>
          <w:shd w:val="clear" w:color="auto" w:fill="FFFFFF"/>
          <w:lang w:val="en-US" w:eastAsia="zh-CN"/>
        </w:rPr>
        <w:t>23.49</w:t>
      </w:r>
      <w:r>
        <w:rPr>
          <w:rFonts w:hint="eastAsia" w:ascii="Times New Roman" w:hAnsi="Times New Roman" w:eastAsia="仿宋_GB2312" w:cs="Times New Roman"/>
          <w:sz w:val="32"/>
          <w:szCs w:val="32"/>
          <w:shd w:val="clear" w:color="auto" w:fill="FFFFFF"/>
        </w:rPr>
        <w:t>%，项目满足相应的绿地标准及仙游县城市规划要求，能够保证项目运营期内的优良环境，有利于改善片区生态环境质量，净化空气、减少灰尘和噪声污染，使项目区域生态环境实现良性循环，实现人与自然、经济发展与资源环境协调、可持续发展。</w:t>
      </w:r>
    </w:p>
    <w:p>
      <w:pPr>
        <w:overflowPunct w:val="0"/>
        <w:spacing w:line="600" w:lineRule="exact"/>
        <w:ind w:firstLine="620" w:firstLineChars="200"/>
        <w:jc w:val="left"/>
        <w:rPr>
          <w:rFonts w:ascii="Times New Roman" w:hAnsi="Times New Roman" w:eastAsia="黑体" w:cs="Times New Roman"/>
          <w:kern w:val="0"/>
          <w:sz w:val="31"/>
          <w:szCs w:val="31"/>
          <w:lang w:bidi="ar"/>
        </w:rPr>
      </w:pPr>
      <w:r>
        <w:rPr>
          <w:rFonts w:hint="eastAsia" w:ascii="Times New Roman" w:hAnsi="Times New Roman" w:eastAsia="黑体" w:cs="Times New Roman"/>
          <w:kern w:val="0"/>
          <w:sz w:val="31"/>
          <w:szCs w:val="31"/>
          <w:lang w:bidi="ar"/>
        </w:rPr>
        <w:t>八</w:t>
      </w:r>
      <w:r>
        <w:rPr>
          <w:rFonts w:ascii="Times New Roman" w:hAnsi="Times New Roman" w:eastAsia="黑体" w:cs="Times New Roman"/>
          <w:kern w:val="0"/>
          <w:sz w:val="31"/>
          <w:szCs w:val="31"/>
          <w:lang w:bidi="ar"/>
        </w:rPr>
        <w:t>、结论</w:t>
      </w:r>
    </w:p>
    <w:p>
      <w:pPr>
        <w:pStyle w:val="5"/>
        <w:spacing w:before="0" w:after="0" w:line="600" w:lineRule="exact"/>
        <w:ind w:firstLine="620" w:firstLineChars="200"/>
        <w:rPr>
          <w:rFonts w:ascii="Times New Roman" w:hAnsi="Times New Roman" w:eastAsia="仿宋_GB2312" w:cs="Times New Roman"/>
          <w:b w:val="0"/>
          <w:bCs w:val="0"/>
          <w:kern w:val="0"/>
          <w:sz w:val="31"/>
          <w:szCs w:val="31"/>
          <w:lang w:bidi="ar"/>
        </w:rPr>
      </w:pPr>
      <w:r>
        <w:rPr>
          <w:rFonts w:ascii="Times New Roman" w:hAnsi="Times New Roman" w:eastAsia="仿宋_GB2312" w:cs="Times New Roman"/>
          <w:b w:val="0"/>
          <w:bCs w:val="0"/>
          <w:kern w:val="0"/>
          <w:sz w:val="31"/>
          <w:szCs w:val="31"/>
          <w:lang w:bidi="ar"/>
        </w:rPr>
        <w:t>《仙游县2022年度第</w:t>
      </w:r>
      <w:r>
        <w:rPr>
          <w:rFonts w:hint="eastAsia" w:ascii="Times New Roman" w:hAnsi="Times New Roman" w:eastAsia="仿宋_GB2312" w:cs="Times New Roman"/>
          <w:b w:val="0"/>
          <w:bCs w:val="0"/>
          <w:kern w:val="0"/>
          <w:sz w:val="31"/>
          <w:szCs w:val="31"/>
          <w:lang w:eastAsia="zh-CN" w:bidi="ar"/>
        </w:rPr>
        <w:t>九</w:t>
      </w:r>
      <w:r>
        <w:rPr>
          <w:rFonts w:ascii="Times New Roman" w:hAnsi="Times New Roman" w:eastAsia="仿宋_GB2312" w:cs="Times New Roman"/>
          <w:b w:val="0"/>
          <w:bCs w:val="0"/>
          <w:kern w:val="0"/>
          <w:sz w:val="31"/>
          <w:szCs w:val="31"/>
          <w:lang w:bidi="ar"/>
        </w:rPr>
        <w:t>批次土地征收成片开发方案（</w:t>
      </w:r>
      <w:r>
        <w:rPr>
          <w:rFonts w:hint="eastAsia" w:ascii="Times New Roman" w:hAnsi="Times New Roman" w:eastAsia="仿宋_GB2312" w:cs="Times New Roman"/>
          <w:b w:val="0"/>
          <w:bCs w:val="0"/>
          <w:kern w:val="0"/>
          <w:sz w:val="31"/>
          <w:szCs w:val="31"/>
          <w:lang w:bidi="ar"/>
        </w:rPr>
        <w:t>纬二路北侧地块</w:t>
      </w:r>
      <w:r>
        <w:rPr>
          <w:rFonts w:ascii="Times New Roman" w:hAnsi="Times New Roman" w:eastAsia="仿宋_GB2312" w:cs="Times New Roman"/>
          <w:b w:val="0"/>
          <w:bCs w:val="0"/>
          <w:kern w:val="0"/>
          <w:sz w:val="31"/>
          <w:szCs w:val="31"/>
          <w:lang w:bidi="ar"/>
        </w:rPr>
        <w:t>）》符合土地征收成片开发的标准。</w:t>
      </w:r>
    </w:p>
    <w:p>
      <w:pPr>
        <w:overflowPunct w:val="0"/>
        <w:spacing w:line="600" w:lineRule="exact"/>
        <w:ind w:firstLine="560" w:firstLineChars="200"/>
        <w:jc w:val="left"/>
        <w:rPr>
          <w:rFonts w:ascii="Times New Roman" w:hAnsi="Times New Roman" w:cs="Times New Roman"/>
          <w:sz w:val="28"/>
          <w:szCs w:val="28"/>
        </w:rPr>
      </w:pPr>
      <w:r>
        <w:rPr>
          <w:rFonts w:ascii="Times New Roman" w:hAnsi="Times New Roman" w:cs="Times New Roman"/>
          <w:sz w:val="28"/>
          <w:szCs w:val="28"/>
        </w:rPr>
        <w:br w:type="page"/>
      </w:r>
    </w:p>
    <w:p>
      <w:pPr>
        <w:rPr>
          <w:rFonts w:ascii="Times New Roman" w:hAnsi="Times New Roman" w:cs="Times New Roman"/>
          <w:sz w:val="28"/>
          <w:szCs w:val="28"/>
        </w:rPr>
        <w:sectPr>
          <w:pgSz w:w="11906" w:h="16838"/>
          <w:pgMar w:top="1440" w:right="1797" w:bottom="1440" w:left="1797" w:header="851" w:footer="992" w:gutter="0"/>
          <w:cols w:space="425" w:num="1"/>
          <w:docGrid w:type="lines" w:linePitch="312" w:charSpace="0"/>
        </w:sectPr>
      </w:pPr>
    </w:p>
    <w:p>
      <w:pPr>
        <w:pStyle w:val="7"/>
        <w:spacing w:line="415" w:lineRule="auto"/>
        <w:rPr>
          <w:rFonts w:ascii="Times New Roman" w:hAnsi="Times New Roman" w:eastAsia="仿宋_GB2312" w:cs="Times New Roman"/>
          <w:b w:val="0"/>
          <w:bCs w:val="0"/>
          <w:kern w:val="0"/>
          <w:sz w:val="28"/>
          <w:szCs w:val="28"/>
          <w:lang w:bidi="ar"/>
        </w:rPr>
      </w:pPr>
      <w:r>
        <w:rPr>
          <w:rFonts w:ascii="Times New Roman" w:hAnsi="Times New Roman" w:eastAsia="仿宋_GB2312" w:cs="Times New Roman"/>
          <w:b w:val="0"/>
          <w:bCs w:val="0"/>
          <w:kern w:val="0"/>
          <w:sz w:val="28"/>
          <w:szCs w:val="28"/>
          <w:lang w:bidi="ar"/>
        </w:rPr>
        <w:t>附图1：位置示意图</w:t>
      </w:r>
    </w:p>
    <w:p>
      <w:pPr>
        <w:jc w:val="center"/>
        <w:rPr>
          <w:rFonts w:hint="eastAsia" w:ascii="Times New Roman" w:hAnsi="Times New Roman" w:eastAsia="仿宋_GB2312" w:cs="Times New Roman"/>
          <w:b/>
          <w:bCs/>
          <w:kern w:val="0"/>
          <w:sz w:val="28"/>
          <w:szCs w:val="28"/>
          <w:lang w:eastAsia="zh-CN" w:bidi="ar"/>
        </w:rPr>
      </w:pPr>
      <w:bookmarkStart w:id="2" w:name="_GoBack"/>
      <w:r>
        <w:rPr>
          <w:rFonts w:hint="eastAsia" w:ascii="Times New Roman" w:hAnsi="Times New Roman" w:eastAsia="仿宋_GB2312" w:cs="Times New Roman"/>
          <w:b/>
          <w:bCs/>
          <w:kern w:val="0"/>
          <w:sz w:val="28"/>
          <w:szCs w:val="28"/>
          <w:lang w:eastAsia="zh-CN" w:bidi="ar"/>
        </w:rPr>
        <w:drawing>
          <wp:inline distT="0" distB="0" distL="114300" distR="114300">
            <wp:extent cx="6635750" cy="4696460"/>
            <wp:effectExtent l="0" t="0" r="12700" b="8890"/>
            <wp:docPr id="2" name="图片 2" descr="位置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位置示意图"/>
                    <pic:cNvPicPr>
                      <a:picLocks noChangeAspect="1"/>
                    </pic:cNvPicPr>
                  </pic:nvPicPr>
                  <pic:blipFill>
                    <a:blip r:embed="rId4"/>
                    <a:stretch>
                      <a:fillRect/>
                    </a:stretch>
                  </pic:blipFill>
                  <pic:spPr>
                    <a:xfrm>
                      <a:off x="0" y="0"/>
                      <a:ext cx="6635750" cy="4696460"/>
                    </a:xfrm>
                    <a:prstGeom prst="rect">
                      <a:avLst/>
                    </a:prstGeom>
                  </pic:spPr>
                </pic:pic>
              </a:graphicData>
            </a:graphic>
          </wp:inline>
        </w:drawing>
      </w:r>
      <w:bookmarkEnd w:id="2"/>
    </w:p>
    <w:sectPr>
      <w:pgSz w:w="11906" w:h="16838"/>
      <w:pgMar w:top="720" w:right="720" w:bottom="720" w:left="720" w:header="851" w:footer="992"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MicrosoftYaHei">
    <w:altName w:val="宋体"/>
    <w:panose1 w:val="00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Cambria">
    <w:panose1 w:val="02040503050406030204"/>
    <w:charset w:val="00"/>
    <w:family w:val="roman"/>
    <w:pitch w:val="default"/>
    <w:sig w:usb0="E00002FF" w:usb1="400004FF" w:usb2="00000000"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IwOWFhY2NiZDk0ZWZhZWZkNzJlOGIwMjY4MTcyMjMifQ=="/>
  </w:docVars>
  <w:rsids>
    <w:rsidRoot w:val="009C2A55"/>
    <w:rsid w:val="000006D4"/>
    <w:rsid w:val="00004EBC"/>
    <w:rsid w:val="000052D5"/>
    <w:rsid w:val="00023701"/>
    <w:rsid w:val="00041CCE"/>
    <w:rsid w:val="0005467B"/>
    <w:rsid w:val="00060D4F"/>
    <w:rsid w:val="00077062"/>
    <w:rsid w:val="00077726"/>
    <w:rsid w:val="00093DD0"/>
    <w:rsid w:val="000969B3"/>
    <w:rsid w:val="000B3D7B"/>
    <w:rsid w:val="000B48FD"/>
    <w:rsid w:val="000B6C40"/>
    <w:rsid w:val="000D4EF6"/>
    <w:rsid w:val="000F02CA"/>
    <w:rsid w:val="00105092"/>
    <w:rsid w:val="0013207B"/>
    <w:rsid w:val="001419A4"/>
    <w:rsid w:val="00161B0D"/>
    <w:rsid w:val="00161FC2"/>
    <w:rsid w:val="00170EC6"/>
    <w:rsid w:val="00190AD9"/>
    <w:rsid w:val="001B0248"/>
    <w:rsid w:val="001B2602"/>
    <w:rsid w:val="001F00F4"/>
    <w:rsid w:val="0020783F"/>
    <w:rsid w:val="00212546"/>
    <w:rsid w:val="00244970"/>
    <w:rsid w:val="0024707F"/>
    <w:rsid w:val="00262566"/>
    <w:rsid w:val="00290531"/>
    <w:rsid w:val="002B00A2"/>
    <w:rsid w:val="002F75B2"/>
    <w:rsid w:val="00310F42"/>
    <w:rsid w:val="00312A11"/>
    <w:rsid w:val="003135AD"/>
    <w:rsid w:val="00314F42"/>
    <w:rsid w:val="00336077"/>
    <w:rsid w:val="00347784"/>
    <w:rsid w:val="00353FAA"/>
    <w:rsid w:val="0036787B"/>
    <w:rsid w:val="003748F3"/>
    <w:rsid w:val="0039266A"/>
    <w:rsid w:val="003D5B2E"/>
    <w:rsid w:val="003E761A"/>
    <w:rsid w:val="003F074B"/>
    <w:rsid w:val="00451BE2"/>
    <w:rsid w:val="00455CD3"/>
    <w:rsid w:val="00461CF3"/>
    <w:rsid w:val="004B49AE"/>
    <w:rsid w:val="004E5550"/>
    <w:rsid w:val="0050081E"/>
    <w:rsid w:val="00503947"/>
    <w:rsid w:val="00504642"/>
    <w:rsid w:val="00524741"/>
    <w:rsid w:val="00535701"/>
    <w:rsid w:val="005501A8"/>
    <w:rsid w:val="00554CF8"/>
    <w:rsid w:val="00555662"/>
    <w:rsid w:val="00555A23"/>
    <w:rsid w:val="0056332F"/>
    <w:rsid w:val="005650B4"/>
    <w:rsid w:val="00565D27"/>
    <w:rsid w:val="00590607"/>
    <w:rsid w:val="005C1199"/>
    <w:rsid w:val="005C2A0C"/>
    <w:rsid w:val="005E3CB7"/>
    <w:rsid w:val="006020C2"/>
    <w:rsid w:val="00605235"/>
    <w:rsid w:val="00605652"/>
    <w:rsid w:val="00607F8A"/>
    <w:rsid w:val="00621E0F"/>
    <w:rsid w:val="006225CE"/>
    <w:rsid w:val="00622DA3"/>
    <w:rsid w:val="00636B05"/>
    <w:rsid w:val="00657DED"/>
    <w:rsid w:val="00661C1C"/>
    <w:rsid w:val="00674F89"/>
    <w:rsid w:val="006A023C"/>
    <w:rsid w:val="006C380A"/>
    <w:rsid w:val="006D3327"/>
    <w:rsid w:val="006D5485"/>
    <w:rsid w:val="006E66D7"/>
    <w:rsid w:val="006F29DB"/>
    <w:rsid w:val="006F5DDB"/>
    <w:rsid w:val="00705170"/>
    <w:rsid w:val="007211B9"/>
    <w:rsid w:val="0075218A"/>
    <w:rsid w:val="007843BB"/>
    <w:rsid w:val="007876D1"/>
    <w:rsid w:val="0079179B"/>
    <w:rsid w:val="007C16D3"/>
    <w:rsid w:val="007D396F"/>
    <w:rsid w:val="007F4EAD"/>
    <w:rsid w:val="00820F82"/>
    <w:rsid w:val="00823E09"/>
    <w:rsid w:val="00834F22"/>
    <w:rsid w:val="00837764"/>
    <w:rsid w:val="0084271A"/>
    <w:rsid w:val="008637CE"/>
    <w:rsid w:val="008641E4"/>
    <w:rsid w:val="0086783F"/>
    <w:rsid w:val="00876841"/>
    <w:rsid w:val="0088296D"/>
    <w:rsid w:val="00883A68"/>
    <w:rsid w:val="00884B9D"/>
    <w:rsid w:val="0088551F"/>
    <w:rsid w:val="008A2E35"/>
    <w:rsid w:val="008F672B"/>
    <w:rsid w:val="00911A4A"/>
    <w:rsid w:val="0092657A"/>
    <w:rsid w:val="009354ED"/>
    <w:rsid w:val="009358C5"/>
    <w:rsid w:val="00975942"/>
    <w:rsid w:val="009A34F4"/>
    <w:rsid w:val="009C11C9"/>
    <w:rsid w:val="009C22F7"/>
    <w:rsid w:val="009C2A55"/>
    <w:rsid w:val="009C2B39"/>
    <w:rsid w:val="009F0041"/>
    <w:rsid w:val="009F7289"/>
    <w:rsid w:val="00A04188"/>
    <w:rsid w:val="00A216AC"/>
    <w:rsid w:val="00A4027A"/>
    <w:rsid w:val="00A40770"/>
    <w:rsid w:val="00A51F81"/>
    <w:rsid w:val="00A64C86"/>
    <w:rsid w:val="00A70A31"/>
    <w:rsid w:val="00A90E3F"/>
    <w:rsid w:val="00A96229"/>
    <w:rsid w:val="00AB4FA1"/>
    <w:rsid w:val="00AF5FDF"/>
    <w:rsid w:val="00AF6DF1"/>
    <w:rsid w:val="00B01908"/>
    <w:rsid w:val="00B21577"/>
    <w:rsid w:val="00B62981"/>
    <w:rsid w:val="00B639B5"/>
    <w:rsid w:val="00B75F03"/>
    <w:rsid w:val="00B7756F"/>
    <w:rsid w:val="00B90F07"/>
    <w:rsid w:val="00BB1789"/>
    <w:rsid w:val="00BB5C3C"/>
    <w:rsid w:val="00C04339"/>
    <w:rsid w:val="00C04F61"/>
    <w:rsid w:val="00C12683"/>
    <w:rsid w:val="00C2749E"/>
    <w:rsid w:val="00C333A6"/>
    <w:rsid w:val="00C352A2"/>
    <w:rsid w:val="00C41A56"/>
    <w:rsid w:val="00C54201"/>
    <w:rsid w:val="00C60CE6"/>
    <w:rsid w:val="00C64F5D"/>
    <w:rsid w:val="00C94A53"/>
    <w:rsid w:val="00CB66FC"/>
    <w:rsid w:val="00CB676F"/>
    <w:rsid w:val="00CE110A"/>
    <w:rsid w:val="00CF0FB7"/>
    <w:rsid w:val="00CF5995"/>
    <w:rsid w:val="00CF7F43"/>
    <w:rsid w:val="00D00AC4"/>
    <w:rsid w:val="00D15989"/>
    <w:rsid w:val="00D30562"/>
    <w:rsid w:val="00D60F24"/>
    <w:rsid w:val="00D631E7"/>
    <w:rsid w:val="00DA1D01"/>
    <w:rsid w:val="00DB4013"/>
    <w:rsid w:val="00DB5ADD"/>
    <w:rsid w:val="00DE06B5"/>
    <w:rsid w:val="00DF0D55"/>
    <w:rsid w:val="00DF5F9F"/>
    <w:rsid w:val="00E13F45"/>
    <w:rsid w:val="00E306AC"/>
    <w:rsid w:val="00E44717"/>
    <w:rsid w:val="00E46C1C"/>
    <w:rsid w:val="00E63632"/>
    <w:rsid w:val="00E71536"/>
    <w:rsid w:val="00E72414"/>
    <w:rsid w:val="00EA2F93"/>
    <w:rsid w:val="00EC4AA5"/>
    <w:rsid w:val="00ED5C8B"/>
    <w:rsid w:val="00EE551E"/>
    <w:rsid w:val="00EF1280"/>
    <w:rsid w:val="00F330B0"/>
    <w:rsid w:val="00F36889"/>
    <w:rsid w:val="00F45506"/>
    <w:rsid w:val="00F51544"/>
    <w:rsid w:val="00F60B08"/>
    <w:rsid w:val="00F62896"/>
    <w:rsid w:val="00F71389"/>
    <w:rsid w:val="00F86494"/>
    <w:rsid w:val="00FB59FA"/>
    <w:rsid w:val="00FC7D03"/>
    <w:rsid w:val="00FE5782"/>
    <w:rsid w:val="03C53226"/>
    <w:rsid w:val="1CFA0A64"/>
    <w:rsid w:val="1F106CB2"/>
    <w:rsid w:val="36BA63DD"/>
    <w:rsid w:val="36C66087"/>
    <w:rsid w:val="470923BB"/>
    <w:rsid w:val="4D0E7126"/>
    <w:rsid w:val="57E7336B"/>
    <w:rsid w:val="66CA65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5">
    <w:name w:val="heading 1"/>
    <w:basedOn w:val="1"/>
    <w:next w:val="1"/>
    <w:link w:val="15"/>
    <w:qFormat/>
    <w:uiPriority w:val="9"/>
    <w:pPr>
      <w:keepNext/>
      <w:keepLines/>
      <w:spacing w:before="340" w:after="330" w:line="578" w:lineRule="auto"/>
      <w:outlineLvl w:val="0"/>
    </w:pPr>
    <w:rPr>
      <w:b/>
      <w:bCs/>
      <w:kern w:val="44"/>
      <w:sz w:val="44"/>
      <w:szCs w:val="44"/>
    </w:rPr>
  </w:style>
  <w:style w:type="paragraph" w:styleId="6">
    <w:name w:val="heading 2"/>
    <w:basedOn w:val="1"/>
    <w:next w:val="1"/>
    <w:qFormat/>
    <w:uiPriority w:val="9"/>
    <w:pPr>
      <w:keepNext/>
      <w:keepLines/>
      <w:spacing w:before="260" w:after="260" w:line="416" w:lineRule="atLeast"/>
      <w:outlineLvl w:val="1"/>
    </w:pPr>
    <w:rPr>
      <w:rFonts w:ascii="Cambria" w:hAnsi="Cambria" w:eastAsia="宋体" w:cs="Times New Roman"/>
      <w:b/>
      <w:bCs/>
      <w:sz w:val="32"/>
      <w:szCs w:val="32"/>
    </w:rPr>
  </w:style>
  <w:style w:type="paragraph" w:styleId="7">
    <w:name w:val="heading 3"/>
    <w:basedOn w:val="1"/>
    <w:next w:val="1"/>
    <w:link w:val="17"/>
    <w:qFormat/>
    <w:uiPriority w:val="9"/>
    <w:pPr>
      <w:keepNext/>
      <w:keepLines/>
      <w:spacing w:before="260" w:after="260" w:line="416" w:lineRule="auto"/>
      <w:outlineLvl w:val="2"/>
    </w:pPr>
    <w:rPr>
      <w:b/>
      <w:bCs/>
      <w:sz w:val="32"/>
      <w:szCs w:val="32"/>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99"/>
    <w:pPr>
      <w:ind w:firstLine="420"/>
    </w:pPr>
  </w:style>
  <w:style w:type="paragraph" w:styleId="3">
    <w:name w:val="Body Text Indent"/>
    <w:basedOn w:val="1"/>
    <w:next w:val="4"/>
    <w:qFormat/>
    <w:uiPriority w:val="0"/>
    <w:pPr>
      <w:ind w:firstLine="546"/>
    </w:pPr>
  </w:style>
  <w:style w:type="paragraph" w:styleId="4">
    <w:name w:val="Plain Text"/>
    <w:basedOn w:val="1"/>
    <w:qFormat/>
    <w:uiPriority w:val="0"/>
    <w:rPr>
      <w:rFonts w:ascii="宋体" w:hAnsi="Courier New" w:cs="Courier New"/>
      <w:sz w:val="21"/>
      <w:szCs w:val="21"/>
    </w:rPr>
  </w:style>
  <w:style w:type="paragraph" w:styleId="8">
    <w:name w:val="Balloon Text"/>
    <w:basedOn w:val="1"/>
    <w:link w:val="18"/>
    <w:semiHidden/>
    <w:unhideWhenUsed/>
    <w:qFormat/>
    <w:uiPriority w:val="99"/>
    <w:rPr>
      <w:sz w:val="18"/>
      <w:szCs w:val="18"/>
    </w:rPr>
  </w:style>
  <w:style w:type="paragraph" w:styleId="9">
    <w:name w:val="footer"/>
    <w:basedOn w:val="1"/>
    <w:link w:val="14"/>
    <w:unhideWhenUsed/>
    <w:qFormat/>
    <w:uiPriority w:val="99"/>
    <w:pPr>
      <w:tabs>
        <w:tab w:val="center" w:pos="4153"/>
        <w:tab w:val="right" w:pos="8306"/>
      </w:tabs>
      <w:snapToGrid w:val="0"/>
      <w:jc w:val="left"/>
    </w:pPr>
    <w:rPr>
      <w:sz w:val="18"/>
      <w:szCs w:val="18"/>
    </w:rPr>
  </w:style>
  <w:style w:type="paragraph" w:styleId="10">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13">
    <w:name w:val="页眉 Char"/>
    <w:basedOn w:val="12"/>
    <w:link w:val="10"/>
    <w:qFormat/>
    <w:uiPriority w:val="99"/>
    <w:rPr>
      <w:sz w:val="18"/>
      <w:szCs w:val="18"/>
    </w:rPr>
  </w:style>
  <w:style w:type="character" w:customStyle="1" w:styleId="14">
    <w:name w:val="页脚 Char"/>
    <w:basedOn w:val="12"/>
    <w:link w:val="9"/>
    <w:qFormat/>
    <w:uiPriority w:val="99"/>
    <w:rPr>
      <w:sz w:val="18"/>
      <w:szCs w:val="18"/>
    </w:rPr>
  </w:style>
  <w:style w:type="character" w:customStyle="1" w:styleId="15">
    <w:name w:val="标题 1 Char"/>
    <w:basedOn w:val="12"/>
    <w:link w:val="5"/>
    <w:qFormat/>
    <w:uiPriority w:val="9"/>
    <w:rPr>
      <w:b/>
      <w:bCs/>
      <w:kern w:val="44"/>
      <w:sz w:val="44"/>
      <w:szCs w:val="44"/>
    </w:rPr>
  </w:style>
  <w:style w:type="paragraph" w:styleId="16">
    <w:name w:val="List Paragraph"/>
    <w:basedOn w:val="1"/>
    <w:qFormat/>
    <w:uiPriority w:val="34"/>
    <w:pPr>
      <w:ind w:firstLine="420" w:firstLineChars="200"/>
    </w:pPr>
  </w:style>
  <w:style w:type="character" w:customStyle="1" w:styleId="17">
    <w:name w:val="标题 3 Char"/>
    <w:basedOn w:val="12"/>
    <w:link w:val="7"/>
    <w:qFormat/>
    <w:uiPriority w:val="9"/>
    <w:rPr>
      <w:b/>
      <w:bCs/>
      <w:sz w:val="32"/>
      <w:szCs w:val="32"/>
    </w:rPr>
  </w:style>
  <w:style w:type="character" w:customStyle="1" w:styleId="18">
    <w:name w:val="批注框文本 Char"/>
    <w:basedOn w:val="12"/>
    <w:link w:val="8"/>
    <w:semiHidden/>
    <w:qFormat/>
    <w:uiPriority w:val="99"/>
    <w:rPr>
      <w:sz w:val="18"/>
      <w:szCs w:val="18"/>
    </w:rPr>
  </w:style>
  <w:style w:type="character" w:customStyle="1" w:styleId="19">
    <w:name w:val="Body text|1_"/>
    <w:link w:val="20"/>
    <w:qFormat/>
    <w:uiPriority w:val="0"/>
    <w:rPr>
      <w:rFonts w:ascii="宋体" w:hAnsi="宋体" w:cs="宋体"/>
      <w:sz w:val="28"/>
      <w:szCs w:val="28"/>
      <w:lang w:val="zh-TW" w:eastAsia="zh-TW" w:bidi="zh-TW"/>
    </w:rPr>
  </w:style>
  <w:style w:type="paragraph" w:customStyle="1" w:styleId="20">
    <w:name w:val="Body text|1"/>
    <w:basedOn w:val="1"/>
    <w:link w:val="19"/>
    <w:qFormat/>
    <w:uiPriority w:val="0"/>
    <w:pPr>
      <w:spacing w:after="280"/>
      <w:jc w:val="left"/>
    </w:pPr>
    <w:rPr>
      <w:rFonts w:ascii="宋体" w:hAnsi="宋体" w:cs="宋体"/>
      <w:kern w:val="0"/>
      <w:sz w:val="28"/>
      <w:szCs w:val="28"/>
      <w:lang w:val="zh-TW" w:eastAsia="zh-TW" w:bidi="zh-TW"/>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微软中国</Company>
  <Pages>5</Pages>
  <Words>1921</Words>
  <Characters>2032</Characters>
  <Lines>15</Lines>
  <Paragraphs>4</Paragraphs>
  <TotalTime>0</TotalTime>
  <ScaleCrop>false</ScaleCrop>
  <LinksUpToDate>false</LinksUpToDate>
  <CharactersWithSpaces>2035</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2021-03-24T10:43:00Z</dcterms:created>
  <dc:creator>微软用户</dc:creator>
  <cp:lastModifiedBy>林晨</cp:lastModifiedBy>
  <cp:lastPrinted>2021-04-15T09:16:00Z</cp:lastPrinted>
  <dcterms:modified xsi:type="dcterms:W3CDTF">2022-10-29T02:38:04Z</dcterms:modified>
  <cp:revision>194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1B3963F8F4B04221A14CCB01380816B3</vt:lpwstr>
  </property>
</Properties>
</file>