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2414" w:rsidRDefault="006020C2">
      <w:pPr>
        <w:widowControl/>
        <w:jc w:val="left"/>
        <w:rPr>
          <w:rFonts w:ascii="Times New Roman" w:eastAsia="宋体" w:hAnsi="Times New Roman" w:cs="Times New Roman"/>
          <w:kern w:val="0"/>
          <w:sz w:val="36"/>
          <w:szCs w:val="36"/>
          <w:lang w:bidi="ar"/>
        </w:rPr>
      </w:pPr>
      <w:r>
        <w:rPr>
          <w:rFonts w:ascii="Times New Roman" w:eastAsia="宋体" w:hAnsi="Times New Roman" w:cs="Times New Roman"/>
          <w:kern w:val="0"/>
          <w:sz w:val="36"/>
          <w:szCs w:val="36"/>
          <w:lang w:bidi="ar"/>
        </w:rPr>
        <w:t>附件</w:t>
      </w:r>
    </w:p>
    <w:p w:rsidR="00E72414" w:rsidRDefault="00E306AC">
      <w:pPr>
        <w:pStyle w:val="1"/>
        <w:jc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仙游县</w:t>
      </w:r>
      <w:r>
        <w:rPr>
          <w:rFonts w:ascii="Times New Roman" w:eastAsia="宋体" w:hAnsi="Times New Roman" w:cs="Times New Roman"/>
        </w:rPr>
        <w:t>2022</w:t>
      </w:r>
      <w:r>
        <w:rPr>
          <w:rFonts w:ascii="Times New Roman" w:eastAsia="宋体" w:hAnsi="Times New Roman" w:cs="Times New Roman"/>
        </w:rPr>
        <w:t>年度第</w:t>
      </w:r>
      <w:r w:rsidR="00535701">
        <w:rPr>
          <w:rFonts w:ascii="Times New Roman" w:eastAsia="宋体" w:hAnsi="Times New Roman" w:cs="Times New Roman" w:hint="eastAsia"/>
        </w:rPr>
        <w:t>二十二</w:t>
      </w:r>
      <w:r>
        <w:rPr>
          <w:rFonts w:ascii="Times New Roman" w:eastAsia="宋体" w:hAnsi="Times New Roman" w:cs="Times New Roman"/>
        </w:rPr>
        <w:t>批次土地征收成片开发方案（大济度尾小微产业园）</w:t>
      </w:r>
    </w:p>
    <w:p w:rsidR="00E72414" w:rsidRDefault="006020C2">
      <w:pPr>
        <w:widowControl/>
        <w:tabs>
          <w:tab w:val="left" w:pos="2730"/>
        </w:tabs>
        <w:jc w:val="left"/>
        <w:outlineLvl w:val="1"/>
        <w:rPr>
          <w:rFonts w:ascii="Times New Roman" w:eastAsia="黑体" w:hAnsi="Times New Roman" w:cs="Times New Roman"/>
          <w:kern w:val="0"/>
          <w:sz w:val="31"/>
          <w:szCs w:val="31"/>
          <w:lang w:bidi="ar"/>
        </w:rPr>
      </w:pPr>
      <w:r>
        <w:rPr>
          <w:rFonts w:ascii="Times New Roman" w:eastAsia="黑体" w:hAnsi="Times New Roman" w:cs="Times New Roman"/>
          <w:kern w:val="0"/>
          <w:sz w:val="31"/>
          <w:szCs w:val="31"/>
          <w:lang w:bidi="ar"/>
        </w:rPr>
        <w:t>一、编制依据</w:t>
      </w:r>
      <w:r>
        <w:rPr>
          <w:rFonts w:ascii="Times New Roman" w:eastAsia="黑体" w:hAnsi="Times New Roman" w:cs="Times New Roman"/>
          <w:kern w:val="0"/>
          <w:sz w:val="31"/>
          <w:szCs w:val="31"/>
          <w:lang w:bidi="ar"/>
        </w:rPr>
        <w:tab/>
      </w:r>
    </w:p>
    <w:p w:rsidR="00E72414" w:rsidRDefault="006020C2">
      <w:pPr>
        <w:overflowPunct w:val="0"/>
        <w:spacing w:line="600" w:lineRule="exact"/>
        <w:ind w:firstLineChars="200" w:firstLine="620"/>
        <w:jc w:val="left"/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</w:pPr>
      <w:r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  <w:t>依据《中华人民共和国土地管理法》（</w:t>
      </w:r>
      <w:r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  <w:t>2019</w:t>
      </w:r>
      <w:r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  <w:t>年修正</w:t>
      </w:r>
      <w:r w:rsidR="006D3327">
        <w:rPr>
          <w:rFonts w:ascii="Times New Roman" w:eastAsia="仿宋_GB2312" w:hAnsi="Times New Roman" w:cs="Times New Roman" w:hint="eastAsia"/>
          <w:kern w:val="0"/>
          <w:sz w:val="31"/>
          <w:szCs w:val="31"/>
          <w:lang w:bidi="ar"/>
        </w:rPr>
        <w:t>版</w:t>
      </w:r>
      <w:r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  <w:t>）、《土地征收成片开发标准（试行）》、《国土空间调查、规划、用途管制用地用海分类指南》（试行）、《</w:t>
      </w:r>
      <w:r w:rsidR="00605652"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  <w:t>仙游县</w:t>
      </w:r>
      <w:r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  <w:t>国民经济和社会发展第十四个五年规划和二</w:t>
      </w:r>
      <w:r>
        <w:rPr>
          <w:rFonts w:ascii="Times New Roman" w:eastAsia="宋体" w:hAnsi="Times New Roman" w:cs="Times New Roman"/>
          <w:kern w:val="0"/>
          <w:sz w:val="31"/>
          <w:szCs w:val="31"/>
          <w:lang w:bidi="ar"/>
        </w:rPr>
        <w:t>〇</w:t>
      </w:r>
      <w:r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  <w:t>三五年远景目标纲要》编制</w:t>
      </w:r>
      <w:r w:rsidR="008637CE"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  <w:t>《</w:t>
      </w:r>
      <w:r w:rsidR="008637CE" w:rsidRPr="009A34F4"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  <w:t>仙游县</w:t>
      </w:r>
      <w:r w:rsidR="008637CE" w:rsidRPr="009A34F4"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  <w:t>2022</w:t>
      </w:r>
      <w:r w:rsidR="008637CE" w:rsidRPr="009A34F4"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  <w:t>年度第</w:t>
      </w:r>
      <w:r w:rsidR="008637CE" w:rsidRPr="009A34F4">
        <w:rPr>
          <w:rFonts w:ascii="Times New Roman" w:eastAsia="仿宋_GB2312" w:hAnsi="Times New Roman" w:cs="Times New Roman" w:hint="eastAsia"/>
          <w:kern w:val="0"/>
          <w:sz w:val="31"/>
          <w:szCs w:val="31"/>
          <w:lang w:bidi="ar"/>
        </w:rPr>
        <w:t>二十二</w:t>
      </w:r>
      <w:r w:rsidR="008637CE" w:rsidRPr="009A34F4"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  <w:t>批次土地征收成片开发方案（大济度尾小微产业园）</w:t>
      </w:r>
      <w:r w:rsidR="008637CE"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  <w:t>》</w:t>
      </w:r>
      <w:r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  <w:t>。</w:t>
      </w:r>
    </w:p>
    <w:p w:rsidR="00E72414" w:rsidRDefault="006020C2">
      <w:pPr>
        <w:widowControl/>
        <w:tabs>
          <w:tab w:val="left" w:pos="2730"/>
        </w:tabs>
        <w:jc w:val="left"/>
        <w:outlineLvl w:val="1"/>
        <w:rPr>
          <w:rFonts w:ascii="Times New Roman" w:eastAsia="黑体" w:hAnsi="Times New Roman" w:cs="Times New Roman"/>
          <w:kern w:val="0"/>
          <w:sz w:val="31"/>
          <w:szCs w:val="31"/>
          <w:lang w:bidi="ar"/>
        </w:rPr>
      </w:pPr>
      <w:r>
        <w:rPr>
          <w:rFonts w:ascii="Times New Roman" w:eastAsia="黑体" w:hAnsi="Times New Roman" w:cs="Times New Roman"/>
          <w:kern w:val="0"/>
          <w:sz w:val="31"/>
          <w:szCs w:val="31"/>
          <w:lang w:bidi="ar"/>
        </w:rPr>
        <w:t>二、基本情况</w:t>
      </w:r>
    </w:p>
    <w:p w:rsidR="00605652" w:rsidRPr="00605652" w:rsidRDefault="00605652" w:rsidP="00605652">
      <w:pPr>
        <w:overflowPunct w:val="0"/>
        <w:spacing w:line="600" w:lineRule="exact"/>
        <w:ind w:firstLineChars="200" w:firstLine="620"/>
        <w:jc w:val="left"/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</w:pPr>
      <w:r w:rsidRPr="00605652"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  <w:t>本方案涉及仙游县度尾镇潭边社区；大济镇龙坂村、大济镇文殊村、大济镇溪口村，共</w:t>
      </w:r>
      <w:r w:rsidRPr="00605652"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  <w:t>2</w:t>
      </w:r>
      <w:r w:rsidRPr="00605652"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  <w:t>个镇</w:t>
      </w:r>
      <w:r w:rsidRPr="00605652"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  <w:t>1</w:t>
      </w:r>
      <w:r w:rsidRPr="00605652"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  <w:t>个社区和</w:t>
      </w:r>
      <w:r w:rsidRPr="00605652"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  <w:t>3</w:t>
      </w:r>
      <w:r w:rsidRPr="00605652"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  <w:t>个村；涉及</w:t>
      </w:r>
      <w:r w:rsidRPr="00605652"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  <w:t>1</w:t>
      </w:r>
      <w:r w:rsidRPr="00605652"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  <w:t>个国有单位，不涉及省级和国家级开发区。</w:t>
      </w:r>
    </w:p>
    <w:p w:rsidR="00605652" w:rsidRPr="00605652" w:rsidRDefault="00605652" w:rsidP="00605652">
      <w:pPr>
        <w:overflowPunct w:val="0"/>
        <w:spacing w:line="600" w:lineRule="exact"/>
        <w:ind w:firstLineChars="200" w:firstLine="620"/>
        <w:jc w:val="left"/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</w:pPr>
      <w:r w:rsidRPr="00605652"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  <w:t>本方案成片开发范围总面积</w:t>
      </w:r>
      <w:r w:rsidR="00BC3A36"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  <w:t>20.8927</w:t>
      </w:r>
      <w:r w:rsidRPr="00605652"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  <w:t>公顷，其中：农用地</w:t>
      </w:r>
      <w:r w:rsidR="00BC3A36"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  <w:t>17.0676</w:t>
      </w:r>
      <w:r w:rsidRPr="00605652"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  <w:t>公顷（耕地</w:t>
      </w:r>
      <w:r w:rsidR="00BC3A36"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  <w:t>1.7072</w:t>
      </w:r>
      <w:r w:rsidRPr="00605652"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  <w:t>公顷），建设用地</w:t>
      </w:r>
      <w:r w:rsidR="00BC3A36"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  <w:t>3.8251</w:t>
      </w:r>
      <w:r w:rsidRPr="00605652"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  <w:t>公顷。</w:t>
      </w:r>
    </w:p>
    <w:p w:rsidR="00E72414" w:rsidRDefault="006020C2">
      <w:pPr>
        <w:widowControl/>
        <w:tabs>
          <w:tab w:val="left" w:pos="2730"/>
        </w:tabs>
        <w:jc w:val="left"/>
        <w:outlineLvl w:val="1"/>
        <w:rPr>
          <w:rFonts w:ascii="Times New Roman" w:eastAsia="黑体" w:hAnsi="Times New Roman" w:cs="Times New Roman"/>
          <w:kern w:val="0"/>
          <w:sz w:val="31"/>
          <w:szCs w:val="31"/>
          <w:lang w:bidi="ar"/>
        </w:rPr>
      </w:pPr>
      <w:r>
        <w:rPr>
          <w:rFonts w:ascii="Times New Roman" w:eastAsia="黑体" w:hAnsi="Times New Roman" w:cs="Times New Roman"/>
          <w:kern w:val="0"/>
          <w:sz w:val="31"/>
          <w:szCs w:val="31"/>
          <w:lang w:bidi="ar"/>
        </w:rPr>
        <w:t>三、项目的必要性</w:t>
      </w:r>
    </w:p>
    <w:p w:rsidR="0039266A" w:rsidRPr="0039266A" w:rsidRDefault="0088296D" w:rsidP="0039266A">
      <w:pPr>
        <w:overflowPunct w:val="0"/>
        <w:spacing w:line="600" w:lineRule="exact"/>
        <w:ind w:firstLineChars="200" w:firstLine="622"/>
        <w:jc w:val="left"/>
        <w:rPr>
          <w:rFonts w:ascii="Times New Roman" w:eastAsia="仿宋_GB2312" w:hAnsi="Times New Roman" w:cs="Times New Roman"/>
          <w:b/>
          <w:kern w:val="0"/>
          <w:sz w:val="31"/>
          <w:szCs w:val="31"/>
          <w:lang w:bidi="ar"/>
        </w:rPr>
      </w:pPr>
      <w:bookmarkStart w:id="0" w:name="_Toc16567"/>
      <w:r>
        <w:rPr>
          <w:rFonts w:ascii="Times New Roman" w:eastAsia="仿宋_GB2312" w:hAnsi="Times New Roman" w:cs="Times New Roman" w:hint="eastAsia"/>
          <w:b/>
          <w:kern w:val="0"/>
          <w:sz w:val="31"/>
          <w:szCs w:val="31"/>
          <w:lang w:bidi="ar"/>
        </w:rPr>
        <w:t>（一）</w:t>
      </w:r>
      <w:r w:rsidR="0039266A" w:rsidRPr="0039266A">
        <w:rPr>
          <w:rFonts w:ascii="Times New Roman" w:eastAsia="仿宋_GB2312" w:hAnsi="Times New Roman" w:cs="Times New Roman"/>
          <w:b/>
          <w:kern w:val="0"/>
          <w:sz w:val="31"/>
          <w:szCs w:val="31"/>
          <w:lang w:bidi="ar"/>
        </w:rPr>
        <w:t>有利于促进红木产业发展</w:t>
      </w:r>
    </w:p>
    <w:p w:rsidR="0039266A" w:rsidRPr="0039266A" w:rsidRDefault="0039266A" w:rsidP="0039266A">
      <w:pPr>
        <w:overflowPunct w:val="0"/>
        <w:spacing w:line="600" w:lineRule="exact"/>
        <w:ind w:firstLineChars="200" w:firstLine="620"/>
        <w:jc w:val="left"/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</w:pPr>
      <w:r w:rsidRPr="0039266A"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  <w:t>仙游县是</w:t>
      </w:r>
      <w:r w:rsidRPr="0039266A"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  <w:t>“</w:t>
      </w:r>
      <w:r w:rsidRPr="0039266A"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  <w:t>世界中式古典家具之都</w:t>
      </w:r>
      <w:r w:rsidRPr="0039266A"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  <w:t>”</w:t>
      </w:r>
      <w:r w:rsidRPr="0039266A"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  <w:t>、</w:t>
      </w:r>
      <w:r w:rsidRPr="0039266A"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  <w:t>“</w:t>
      </w:r>
      <w:r w:rsidRPr="0039266A"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  <w:t>中国古典工艺家具之都</w:t>
      </w:r>
      <w:r w:rsidRPr="0039266A"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  <w:t>”</w:t>
      </w:r>
      <w:r w:rsidRPr="0039266A"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  <w:t>，仙作红木文化产业独树一帜，现已成为全国最大的红木交易市场和文化创意基地。自</w:t>
      </w:r>
      <w:r w:rsidRPr="0039266A"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  <w:t>2013</w:t>
      </w:r>
      <w:r w:rsidRPr="0039266A"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  <w:t>年以来，仙游红博会已</w:t>
      </w:r>
      <w:r w:rsidRPr="0039266A"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  <w:lastRenderedPageBreak/>
        <w:t>成功举办了五届，是全国最具影响力的产业盛会和文化盛会之一。仙游红博会的举办，为行业互通、交流进步搭设了平台，促进同行业之间的技术交流、产业对接，推动全国红木文化产业转型升级、创新发展，更好服务</w:t>
      </w:r>
      <w:r w:rsidRPr="0039266A"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  <w:t>“</w:t>
      </w:r>
      <w:r w:rsidRPr="0039266A"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  <w:t>一带一路</w:t>
      </w:r>
      <w:r w:rsidRPr="0039266A"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  <w:t>”</w:t>
      </w:r>
      <w:r w:rsidRPr="0039266A"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  <w:t>建设。</w:t>
      </w:r>
    </w:p>
    <w:p w:rsidR="0039266A" w:rsidRPr="0039266A" w:rsidRDefault="0039266A" w:rsidP="0039266A">
      <w:pPr>
        <w:overflowPunct w:val="0"/>
        <w:spacing w:line="600" w:lineRule="exact"/>
        <w:ind w:firstLineChars="200" w:firstLine="620"/>
        <w:jc w:val="left"/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</w:pPr>
      <w:r w:rsidRPr="0039266A"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  <w:t>本方案大力发展以红木与实木为原料的产业，充分发挥乡镇木材产业的龙头企业的品牌效应，扩展产业发展空间，打造围绕红木与实木为原材料的多领域的产业链，建成全市重要的木材工业生产基地。聚集整合乡镇周边产业，使产业之间相互发展融合促进。</w:t>
      </w:r>
    </w:p>
    <w:bookmarkEnd w:id="0"/>
    <w:p w:rsidR="0039266A" w:rsidRPr="0039266A" w:rsidRDefault="0088296D" w:rsidP="0039266A">
      <w:pPr>
        <w:overflowPunct w:val="0"/>
        <w:spacing w:line="600" w:lineRule="exact"/>
        <w:ind w:firstLineChars="200" w:firstLine="622"/>
        <w:jc w:val="left"/>
        <w:rPr>
          <w:rFonts w:ascii="Times New Roman" w:eastAsia="仿宋_GB2312" w:hAnsi="Times New Roman" w:cs="Times New Roman"/>
          <w:b/>
          <w:kern w:val="0"/>
          <w:sz w:val="31"/>
          <w:szCs w:val="31"/>
          <w:lang w:bidi="ar"/>
        </w:rPr>
      </w:pPr>
      <w:r>
        <w:rPr>
          <w:rFonts w:ascii="Times New Roman" w:eastAsia="仿宋_GB2312" w:hAnsi="Times New Roman" w:cs="Times New Roman"/>
          <w:b/>
          <w:kern w:val="0"/>
          <w:sz w:val="31"/>
          <w:szCs w:val="31"/>
          <w:lang w:bidi="ar"/>
        </w:rPr>
        <w:t>（</w:t>
      </w:r>
      <w:r>
        <w:rPr>
          <w:rFonts w:ascii="Times New Roman" w:eastAsia="仿宋_GB2312" w:hAnsi="Times New Roman" w:cs="Times New Roman" w:hint="eastAsia"/>
          <w:b/>
          <w:kern w:val="0"/>
          <w:sz w:val="31"/>
          <w:szCs w:val="31"/>
          <w:lang w:bidi="ar"/>
        </w:rPr>
        <w:t>二</w:t>
      </w:r>
      <w:r>
        <w:rPr>
          <w:rFonts w:ascii="Times New Roman" w:eastAsia="仿宋_GB2312" w:hAnsi="Times New Roman" w:cs="Times New Roman"/>
          <w:b/>
          <w:kern w:val="0"/>
          <w:sz w:val="31"/>
          <w:szCs w:val="31"/>
          <w:lang w:bidi="ar"/>
        </w:rPr>
        <w:t>）</w:t>
      </w:r>
      <w:r w:rsidR="0039266A" w:rsidRPr="0039266A">
        <w:rPr>
          <w:rFonts w:ascii="Times New Roman" w:eastAsia="仿宋_GB2312" w:hAnsi="Times New Roman" w:cs="Times New Roman"/>
          <w:b/>
          <w:kern w:val="0"/>
          <w:sz w:val="31"/>
          <w:szCs w:val="31"/>
          <w:lang w:bidi="ar"/>
        </w:rPr>
        <w:t>有利于积极改造提升传统产业，加快打造木业区域品牌</w:t>
      </w:r>
    </w:p>
    <w:p w:rsidR="0039266A" w:rsidRPr="0039266A" w:rsidRDefault="0039266A" w:rsidP="0039266A">
      <w:pPr>
        <w:overflowPunct w:val="0"/>
        <w:spacing w:line="600" w:lineRule="exact"/>
        <w:ind w:firstLineChars="200" w:firstLine="620"/>
        <w:jc w:val="left"/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</w:pPr>
      <w:r w:rsidRPr="0039266A"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  <w:t>工艺美术是莆田重点打造的千亿产业集群和</w:t>
      </w:r>
      <w:r w:rsidRPr="0039266A"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  <w:t>“</w:t>
      </w:r>
      <w:r w:rsidRPr="0039266A"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  <w:t>五大品牌</w:t>
      </w:r>
      <w:r w:rsidRPr="0039266A"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  <w:t>”</w:t>
      </w:r>
      <w:r w:rsidRPr="0039266A"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  <w:t>之一。近年来，市委、市政府从平台搭建、标准再造、市场开拓等方面，推进工艺美术产业融合创新发展，打造权威区域品牌。</w:t>
      </w:r>
    </w:p>
    <w:p w:rsidR="0039266A" w:rsidRPr="0039266A" w:rsidRDefault="0039266A" w:rsidP="0039266A">
      <w:pPr>
        <w:overflowPunct w:val="0"/>
        <w:spacing w:line="600" w:lineRule="exact"/>
        <w:ind w:firstLineChars="200" w:firstLine="620"/>
        <w:jc w:val="left"/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</w:pPr>
      <w:r w:rsidRPr="0039266A"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  <w:t>木业是仙游县鼓励发展的传统产业。本方案积极改造提升传统产业，运用高新技术改造以红木、实木为原材料的工艺以及加工业等产业，培育壮大龙头骨干企业，着力开发拥有自主知识产权的关键技术和配套技术，形成一批知名企业，创建一批知名品牌，形成示范带动作用。</w:t>
      </w:r>
    </w:p>
    <w:p w:rsidR="0039266A" w:rsidRPr="0039266A" w:rsidRDefault="0088296D" w:rsidP="0039266A">
      <w:pPr>
        <w:overflowPunct w:val="0"/>
        <w:spacing w:line="600" w:lineRule="exact"/>
        <w:ind w:firstLineChars="200" w:firstLine="622"/>
        <w:jc w:val="left"/>
        <w:rPr>
          <w:rFonts w:ascii="Times New Roman" w:eastAsia="仿宋_GB2312" w:hAnsi="Times New Roman" w:cs="Times New Roman"/>
          <w:b/>
          <w:kern w:val="0"/>
          <w:sz w:val="31"/>
          <w:szCs w:val="31"/>
          <w:lang w:bidi="ar"/>
        </w:rPr>
      </w:pPr>
      <w:r>
        <w:rPr>
          <w:rFonts w:ascii="Times New Roman" w:eastAsia="仿宋_GB2312" w:hAnsi="Times New Roman" w:cs="Times New Roman"/>
          <w:b/>
          <w:kern w:val="0"/>
          <w:sz w:val="31"/>
          <w:szCs w:val="31"/>
          <w:lang w:bidi="ar"/>
        </w:rPr>
        <w:t>（</w:t>
      </w:r>
      <w:r>
        <w:rPr>
          <w:rFonts w:ascii="Times New Roman" w:eastAsia="仿宋_GB2312" w:hAnsi="Times New Roman" w:cs="Times New Roman" w:hint="eastAsia"/>
          <w:b/>
          <w:kern w:val="0"/>
          <w:sz w:val="31"/>
          <w:szCs w:val="31"/>
          <w:lang w:bidi="ar"/>
        </w:rPr>
        <w:t>三</w:t>
      </w:r>
      <w:r>
        <w:rPr>
          <w:rFonts w:ascii="Times New Roman" w:eastAsia="仿宋_GB2312" w:hAnsi="Times New Roman" w:cs="Times New Roman"/>
          <w:b/>
          <w:kern w:val="0"/>
          <w:sz w:val="31"/>
          <w:szCs w:val="31"/>
          <w:lang w:bidi="ar"/>
        </w:rPr>
        <w:t>）</w:t>
      </w:r>
      <w:r w:rsidR="0039266A" w:rsidRPr="0039266A">
        <w:rPr>
          <w:rFonts w:ascii="Times New Roman" w:eastAsia="仿宋_GB2312" w:hAnsi="Times New Roman" w:cs="Times New Roman"/>
          <w:b/>
          <w:kern w:val="0"/>
          <w:sz w:val="31"/>
          <w:szCs w:val="31"/>
          <w:lang w:bidi="ar"/>
        </w:rPr>
        <w:t>有利于促进地方产业集聚发展</w:t>
      </w:r>
    </w:p>
    <w:p w:rsidR="0039266A" w:rsidRPr="0039266A" w:rsidRDefault="0039266A" w:rsidP="0039266A">
      <w:pPr>
        <w:overflowPunct w:val="0"/>
        <w:spacing w:line="600" w:lineRule="exact"/>
        <w:ind w:firstLineChars="200" w:firstLine="620"/>
        <w:jc w:val="left"/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</w:pPr>
      <w:r w:rsidRPr="0039266A"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  <w:t>大济镇、度尾镇谋划建设小微企业园，配套建设集标准化厂房、原材料供应、生产区、展销平台等增值载体于一体的产</w:t>
      </w:r>
      <w:r w:rsidRPr="0039266A"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  <w:lastRenderedPageBreak/>
        <w:t>业经济区，联动铭天下创业园、龙威工艺小区，共同辐射周边木材运输、红木家具销售等一系列中下游产业，形成产业集群。</w:t>
      </w:r>
    </w:p>
    <w:p w:rsidR="0039266A" w:rsidRDefault="0039266A" w:rsidP="0039266A">
      <w:pPr>
        <w:overflowPunct w:val="0"/>
        <w:spacing w:line="600" w:lineRule="exact"/>
        <w:ind w:firstLineChars="200" w:firstLine="620"/>
        <w:jc w:val="left"/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</w:pPr>
      <w:r w:rsidRPr="0039266A"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  <w:t>本方案通过整合木材交易资源，合理布局片区内工业用地，规范化配置工业用地，可以优化资源配置，推进资源整合，发挥文化品牌效应，优化生产力布局，培育木材产业集群，促进中小企业的发展。</w:t>
      </w:r>
    </w:p>
    <w:p w:rsidR="00E72414" w:rsidRDefault="006020C2">
      <w:pPr>
        <w:widowControl/>
        <w:tabs>
          <w:tab w:val="left" w:pos="2730"/>
        </w:tabs>
        <w:jc w:val="left"/>
        <w:outlineLvl w:val="1"/>
        <w:rPr>
          <w:rFonts w:ascii="Times New Roman" w:eastAsia="黑体" w:hAnsi="Times New Roman" w:cs="Times New Roman"/>
          <w:kern w:val="0"/>
          <w:sz w:val="31"/>
          <w:szCs w:val="31"/>
          <w:lang w:bidi="ar"/>
        </w:rPr>
      </w:pPr>
      <w:r>
        <w:rPr>
          <w:rFonts w:ascii="Times New Roman" w:eastAsia="黑体" w:hAnsi="Times New Roman" w:cs="Times New Roman"/>
          <w:kern w:val="0"/>
          <w:sz w:val="31"/>
          <w:szCs w:val="31"/>
          <w:lang w:bidi="ar"/>
        </w:rPr>
        <w:t>四、规划土地用途及实现功能分析</w:t>
      </w:r>
    </w:p>
    <w:p w:rsidR="00605652" w:rsidRPr="00605652" w:rsidRDefault="006020C2" w:rsidP="00605652">
      <w:pPr>
        <w:overflowPunct w:val="0"/>
        <w:spacing w:line="600" w:lineRule="exact"/>
        <w:ind w:firstLineChars="200" w:firstLine="620"/>
        <w:jc w:val="left"/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</w:pPr>
      <w:r w:rsidRPr="00605652"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  <w:t>本方案用地总面积</w:t>
      </w:r>
      <w:r w:rsidR="00441869"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  <w:t>20.8927</w:t>
      </w:r>
      <w:r w:rsidRPr="00605652"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  <w:t>公顷，其中</w:t>
      </w:r>
      <w:r w:rsidR="00605652" w:rsidRPr="00605652"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  <w:t>工业用地</w:t>
      </w:r>
      <w:r w:rsidR="00441869"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  <w:t>12.3291</w:t>
      </w:r>
      <w:r w:rsidR="00605652" w:rsidRPr="00605652"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  <w:t>公顷，实现促进产业发展的功能；</w:t>
      </w:r>
      <w:r w:rsidR="00441869">
        <w:rPr>
          <w:rFonts w:ascii="Times New Roman" w:eastAsia="仿宋_GB2312" w:hAnsi="Times New Roman" w:cs="Times New Roman" w:hint="eastAsia"/>
          <w:kern w:val="0"/>
          <w:sz w:val="31"/>
          <w:szCs w:val="31"/>
          <w:lang w:bidi="ar"/>
        </w:rPr>
        <w:t>体育</w:t>
      </w:r>
      <w:r w:rsidR="00605652" w:rsidRPr="00605652"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  <w:t>用地</w:t>
      </w:r>
      <w:r w:rsidR="00441869"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  <w:t>1.9094</w:t>
      </w:r>
      <w:r w:rsidR="00605652" w:rsidRPr="00605652"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  <w:t>公顷，实现</w:t>
      </w:r>
      <w:r w:rsidR="00441869" w:rsidRPr="00605652"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  <w:t>提供公共活动场所</w:t>
      </w:r>
      <w:r w:rsidR="00605652" w:rsidRPr="00605652"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  <w:t>的功能；城镇道路用地</w:t>
      </w:r>
      <w:r w:rsidR="00441869"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  <w:t>1.0037</w:t>
      </w:r>
      <w:r w:rsidR="00605652" w:rsidRPr="00605652"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  <w:t>公顷，实现交通路网畅通的功能；交通场站用地</w:t>
      </w:r>
      <w:r w:rsidR="00441869"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  <w:t>0.5988</w:t>
      </w:r>
      <w:r w:rsidR="00605652" w:rsidRPr="00605652"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  <w:t>公顷，实现满足停车需求的功能；防护绿地</w:t>
      </w:r>
      <w:r w:rsidR="00441869"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  <w:t>4.5042</w:t>
      </w:r>
      <w:r w:rsidR="00605652" w:rsidRPr="00605652"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  <w:t>公顷，实现美化环境、维护生态的功能；广场用地</w:t>
      </w:r>
      <w:r w:rsidR="00441869"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  <w:t>0.5475</w:t>
      </w:r>
      <w:r w:rsidR="00605652" w:rsidRPr="00605652"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  <w:t>公顷，实现提供公共活动场所的功能。</w:t>
      </w:r>
    </w:p>
    <w:p w:rsidR="00E72414" w:rsidRDefault="006020C2">
      <w:pPr>
        <w:widowControl/>
        <w:tabs>
          <w:tab w:val="left" w:pos="2730"/>
        </w:tabs>
        <w:jc w:val="left"/>
        <w:outlineLvl w:val="1"/>
        <w:rPr>
          <w:rFonts w:ascii="Times New Roman" w:eastAsia="黑体" w:hAnsi="Times New Roman" w:cs="Times New Roman"/>
          <w:kern w:val="0"/>
          <w:sz w:val="31"/>
          <w:szCs w:val="31"/>
          <w:lang w:bidi="ar"/>
        </w:rPr>
      </w:pPr>
      <w:r>
        <w:rPr>
          <w:rFonts w:ascii="Times New Roman" w:eastAsia="黑体" w:hAnsi="Times New Roman" w:cs="Times New Roman"/>
          <w:kern w:val="0"/>
          <w:sz w:val="31"/>
          <w:szCs w:val="31"/>
          <w:lang w:bidi="ar"/>
        </w:rPr>
        <w:t>五、公益性用地情况</w:t>
      </w:r>
    </w:p>
    <w:p w:rsidR="00E72414" w:rsidRDefault="006020C2">
      <w:pPr>
        <w:overflowPunct w:val="0"/>
        <w:spacing w:line="600" w:lineRule="exact"/>
        <w:ind w:firstLineChars="200" w:firstLine="620"/>
        <w:jc w:val="left"/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</w:pPr>
      <w:r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  <w:t>本方案</w:t>
      </w:r>
      <w:r w:rsidR="00D00AC4" w:rsidRPr="00D00AC4"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  <w:t>公益性用地包含</w:t>
      </w:r>
      <w:r w:rsidR="00F43FCE">
        <w:rPr>
          <w:rFonts w:ascii="Times New Roman" w:eastAsia="仿宋_GB2312" w:hAnsi="Times New Roman" w:cs="Times New Roman" w:hint="eastAsia"/>
          <w:kern w:val="0"/>
          <w:sz w:val="31"/>
          <w:szCs w:val="31"/>
          <w:lang w:bidi="ar"/>
        </w:rPr>
        <w:t>体育</w:t>
      </w:r>
      <w:r w:rsidR="00D00AC4" w:rsidRPr="00D00AC4"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  <w:t>用地、城镇道路用地、交通场站用地、防护绿地、广场用地，合计</w:t>
      </w:r>
      <w:r w:rsidR="004E2B73"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  <w:t>8.5636</w:t>
      </w:r>
      <w:r w:rsidR="00D00AC4" w:rsidRPr="00D00AC4"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  <w:t>公顷，占用地总面积的</w:t>
      </w:r>
      <w:r w:rsidR="004E2B73"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  <w:t>40.99</w:t>
      </w:r>
      <w:r w:rsidR="00D00AC4" w:rsidRPr="00D00AC4"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  <w:t>%</w:t>
      </w:r>
      <w:r w:rsidR="00D00AC4" w:rsidRPr="00D00AC4"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  <w:t>，</w:t>
      </w:r>
      <w:r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  <w:t>满足《福建省土地征收成片开发方案报批实施细则（试行）》中公益性用地占比不低于</w:t>
      </w:r>
      <w:r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  <w:t>40%</w:t>
      </w:r>
      <w:r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  <w:t>的规定。</w:t>
      </w:r>
    </w:p>
    <w:p w:rsidR="00E72414" w:rsidRDefault="006020C2">
      <w:pPr>
        <w:widowControl/>
        <w:tabs>
          <w:tab w:val="left" w:pos="2730"/>
        </w:tabs>
        <w:jc w:val="left"/>
        <w:outlineLvl w:val="1"/>
        <w:rPr>
          <w:rFonts w:ascii="Times New Roman" w:eastAsia="黑体" w:hAnsi="Times New Roman" w:cs="Times New Roman"/>
          <w:kern w:val="0"/>
          <w:sz w:val="31"/>
          <w:szCs w:val="31"/>
          <w:lang w:bidi="ar"/>
        </w:rPr>
      </w:pPr>
      <w:r>
        <w:rPr>
          <w:rFonts w:ascii="Times New Roman" w:eastAsia="黑体" w:hAnsi="Times New Roman" w:cs="Times New Roman"/>
          <w:kern w:val="0"/>
          <w:sz w:val="31"/>
          <w:szCs w:val="31"/>
          <w:lang w:bidi="ar"/>
        </w:rPr>
        <w:t>六、规划符合情况</w:t>
      </w:r>
    </w:p>
    <w:p w:rsidR="0043416B" w:rsidRPr="009433C0" w:rsidRDefault="006020C2" w:rsidP="0043416B">
      <w:pPr>
        <w:adjustRightInd w:val="0"/>
        <w:snapToGrid w:val="0"/>
        <w:spacing w:line="600" w:lineRule="exact"/>
        <w:ind w:firstLineChars="200" w:firstLine="620"/>
        <w:rPr>
          <w:rFonts w:eastAsia="仿宋_GB2312"/>
          <w:sz w:val="32"/>
          <w:szCs w:val="32"/>
        </w:rPr>
      </w:pPr>
      <w:r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  <w:t>本方案符合国民经济和社会发展规划的发展定位、要求，有利于完成规划目标、任务，已纳入国民经济和社会发展年度计划。</w:t>
      </w:r>
      <w:r w:rsidR="0043416B" w:rsidRPr="009433C0">
        <w:rPr>
          <w:rFonts w:eastAsia="仿宋_GB2312"/>
          <w:sz w:val="32"/>
          <w:szCs w:val="32"/>
        </w:rPr>
        <w:t>本方案</w:t>
      </w:r>
      <w:r w:rsidR="0043416B">
        <w:rPr>
          <w:rFonts w:eastAsia="仿宋_GB2312" w:hint="eastAsia"/>
          <w:sz w:val="32"/>
          <w:szCs w:val="32"/>
        </w:rPr>
        <w:t>成片开发范围位于</w:t>
      </w:r>
      <w:r w:rsidR="0043416B" w:rsidRPr="009433C0">
        <w:rPr>
          <w:rFonts w:eastAsia="仿宋_GB2312"/>
          <w:sz w:val="32"/>
          <w:szCs w:val="32"/>
        </w:rPr>
        <w:t>城镇开发边界的集中建设区内</w:t>
      </w:r>
      <w:r w:rsidR="0043416B">
        <w:rPr>
          <w:rFonts w:eastAsia="仿宋_GB2312"/>
          <w:sz w:val="32"/>
          <w:szCs w:val="32"/>
        </w:rPr>
        <w:t>。</w:t>
      </w:r>
      <w:r w:rsidR="0043416B">
        <w:rPr>
          <w:rFonts w:eastAsia="仿宋_GB2312" w:hint="eastAsia"/>
          <w:sz w:val="32"/>
          <w:szCs w:val="32"/>
        </w:rPr>
        <w:t>仙游</w:t>
      </w:r>
      <w:r w:rsidR="0043416B" w:rsidRPr="009433C0">
        <w:rPr>
          <w:rFonts w:eastAsia="仿宋_GB2312"/>
          <w:sz w:val="32"/>
          <w:szCs w:val="32"/>
        </w:rPr>
        <w:t>县</w:t>
      </w:r>
      <w:r w:rsidR="0043416B">
        <w:rPr>
          <w:rFonts w:eastAsia="仿宋_GB2312" w:hint="eastAsia"/>
          <w:sz w:val="32"/>
          <w:szCs w:val="32"/>
        </w:rPr>
        <w:t>人民政府</w:t>
      </w:r>
      <w:r w:rsidR="0043416B" w:rsidRPr="009433C0">
        <w:rPr>
          <w:rFonts w:eastAsia="仿宋_GB2312"/>
          <w:sz w:val="32"/>
          <w:szCs w:val="32"/>
        </w:rPr>
        <w:t>承诺</w:t>
      </w:r>
      <w:r w:rsidR="0043416B">
        <w:rPr>
          <w:rFonts w:eastAsia="仿宋_GB2312" w:hint="eastAsia"/>
          <w:sz w:val="32"/>
          <w:szCs w:val="32"/>
        </w:rPr>
        <w:t>方案获批后，</w:t>
      </w:r>
      <w:r w:rsidR="0043416B" w:rsidRPr="009433C0">
        <w:rPr>
          <w:rFonts w:eastAsia="仿宋_GB2312"/>
          <w:sz w:val="32"/>
          <w:szCs w:val="32"/>
        </w:rPr>
        <w:t>将</w:t>
      </w:r>
      <w:r w:rsidR="0043416B">
        <w:rPr>
          <w:rFonts w:eastAsia="仿宋_GB2312" w:hint="eastAsia"/>
          <w:sz w:val="32"/>
          <w:szCs w:val="32"/>
        </w:rPr>
        <w:t>该</w:t>
      </w:r>
      <w:r w:rsidR="0043416B" w:rsidRPr="009433C0">
        <w:rPr>
          <w:rFonts w:eastAsia="仿宋_GB2312"/>
          <w:sz w:val="32"/>
          <w:szCs w:val="32"/>
        </w:rPr>
        <w:t>成片开发</w:t>
      </w:r>
      <w:r w:rsidR="0043416B">
        <w:rPr>
          <w:rFonts w:eastAsia="仿宋_GB2312" w:hint="eastAsia"/>
          <w:sz w:val="32"/>
          <w:szCs w:val="32"/>
        </w:rPr>
        <w:t>方案统</w:t>
      </w:r>
      <w:r w:rsidR="0043416B">
        <w:rPr>
          <w:rFonts w:eastAsia="仿宋_GB2312" w:hint="eastAsia"/>
          <w:sz w:val="32"/>
          <w:szCs w:val="32"/>
        </w:rPr>
        <w:lastRenderedPageBreak/>
        <w:t>筹</w:t>
      </w:r>
      <w:r w:rsidR="0043416B" w:rsidRPr="009433C0">
        <w:rPr>
          <w:rFonts w:eastAsia="仿宋_GB2312"/>
          <w:sz w:val="32"/>
          <w:szCs w:val="32"/>
        </w:rPr>
        <w:t>纳入</w:t>
      </w:r>
      <w:r w:rsidR="0043416B">
        <w:rPr>
          <w:rFonts w:eastAsia="仿宋_GB2312" w:hint="eastAsia"/>
          <w:sz w:val="32"/>
          <w:szCs w:val="32"/>
        </w:rPr>
        <w:t>正在编制的</w:t>
      </w:r>
      <w:r w:rsidR="0043416B" w:rsidRPr="009433C0">
        <w:rPr>
          <w:rFonts w:eastAsia="仿宋_GB2312"/>
          <w:sz w:val="32"/>
          <w:szCs w:val="32"/>
        </w:rPr>
        <w:t>国土空间规划</w:t>
      </w:r>
      <w:r w:rsidR="0043416B">
        <w:rPr>
          <w:rFonts w:eastAsia="仿宋_GB2312" w:hint="eastAsia"/>
          <w:sz w:val="32"/>
          <w:szCs w:val="32"/>
        </w:rPr>
        <w:t>及“一张图”</w:t>
      </w:r>
      <w:r w:rsidR="0043416B" w:rsidRPr="009433C0">
        <w:rPr>
          <w:rFonts w:eastAsia="仿宋_GB2312"/>
          <w:sz w:val="32"/>
          <w:szCs w:val="32"/>
        </w:rPr>
        <w:t>，并符合规划管控要求。</w:t>
      </w:r>
    </w:p>
    <w:p w:rsidR="00E72414" w:rsidRDefault="000052D5">
      <w:pPr>
        <w:widowControl/>
        <w:tabs>
          <w:tab w:val="left" w:pos="2730"/>
        </w:tabs>
        <w:jc w:val="left"/>
        <w:outlineLvl w:val="1"/>
        <w:rPr>
          <w:rFonts w:ascii="Times New Roman" w:eastAsia="黑体" w:hAnsi="Times New Roman" w:cs="Times New Roman"/>
          <w:kern w:val="0"/>
          <w:sz w:val="31"/>
          <w:szCs w:val="31"/>
          <w:lang w:bidi="ar"/>
        </w:rPr>
      </w:pPr>
      <w:r>
        <w:rPr>
          <w:rFonts w:ascii="Times New Roman" w:eastAsia="黑体" w:hAnsi="Times New Roman" w:cs="Times New Roman" w:hint="eastAsia"/>
          <w:kern w:val="0"/>
          <w:sz w:val="31"/>
          <w:szCs w:val="31"/>
          <w:lang w:bidi="ar"/>
        </w:rPr>
        <w:t>七</w:t>
      </w:r>
      <w:r w:rsidR="006020C2">
        <w:rPr>
          <w:rFonts w:ascii="Times New Roman" w:eastAsia="黑体" w:hAnsi="Times New Roman" w:cs="Times New Roman"/>
          <w:kern w:val="0"/>
          <w:sz w:val="31"/>
          <w:szCs w:val="31"/>
          <w:lang w:bidi="ar"/>
        </w:rPr>
        <w:t>、效益评估</w:t>
      </w:r>
    </w:p>
    <w:p w:rsidR="00B90F07" w:rsidRPr="00F46F3A" w:rsidRDefault="006020C2" w:rsidP="00B90F07">
      <w:pPr>
        <w:spacing w:line="600" w:lineRule="exact"/>
        <w:ind w:firstLineChars="200" w:firstLine="620"/>
        <w:rPr>
          <w:rFonts w:eastAsia="仿宋_GB2312"/>
          <w:sz w:val="32"/>
          <w:szCs w:val="32"/>
        </w:rPr>
      </w:pPr>
      <w:r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  <w:t>（一）土地利用效益：</w:t>
      </w:r>
      <w:r>
        <w:rPr>
          <w:rFonts w:ascii="Times New Roman" w:eastAsia="仿宋_GB2312" w:hAnsi="Times New Roman" w:cs="Times New Roman"/>
          <w:sz w:val="32"/>
          <w:szCs w:val="32"/>
        </w:rPr>
        <w:t>通过土地利用开发，</w:t>
      </w:r>
      <w:r w:rsidR="00B90F07" w:rsidRPr="00F46F3A">
        <w:rPr>
          <w:rFonts w:eastAsia="仿宋_GB2312"/>
          <w:sz w:val="32"/>
          <w:szCs w:val="32"/>
        </w:rPr>
        <w:t>可以有效整合区域内土地资源，促进土地资源要素的统筹利用，科学合理布局各类用地，有效推动土地集约、节约利用。</w:t>
      </w:r>
    </w:p>
    <w:p w:rsidR="007C16D3" w:rsidRDefault="006020C2" w:rsidP="007C16D3">
      <w:pPr>
        <w:snapToGrid w:val="0"/>
        <w:spacing w:line="600" w:lineRule="exact"/>
        <w:ind w:firstLineChars="200" w:firstLine="620"/>
        <w:rPr>
          <w:rFonts w:eastAsia="仿宋_GB2312"/>
          <w:sz w:val="32"/>
          <w:szCs w:val="32"/>
        </w:rPr>
      </w:pPr>
      <w:r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  <w:t>（二）经济效益：</w:t>
      </w:r>
      <w:r w:rsidR="00B90F07" w:rsidRPr="00F46F3A">
        <w:rPr>
          <w:rFonts w:eastAsia="仿宋_GB2312"/>
          <w:sz w:val="32"/>
          <w:szCs w:val="32"/>
        </w:rPr>
        <w:t>本项目通过小微产业园建设形成产业聚集，产业集聚效应明显，便于个性化采购，实现更好的经济效益。通过建设标准的规范化的木材原材料交易园区，形成红木等木材全产业链，降低企业生产成本，促进产业结构的调整和优化、提升产业的档次水平，进一步推动度尾镇和大济镇木制产业转型升级。</w:t>
      </w:r>
    </w:p>
    <w:p w:rsidR="00B90F07" w:rsidRPr="00F46F3A" w:rsidRDefault="00B90F07" w:rsidP="007C16D3">
      <w:pPr>
        <w:snapToGrid w:val="0"/>
        <w:spacing w:line="600" w:lineRule="exact"/>
        <w:ind w:firstLineChars="200" w:firstLine="640"/>
        <w:rPr>
          <w:rFonts w:eastAsia="仿宋_GB2312"/>
          <w:sz w:val="32"/>
          <w:szCs w:val="32"/>
        </w:rPr>
      </w:pPr>
      <w:r w:rsidRPr="00F46F3A">
        <w:rPr>
          <w:rFonts w:eastAsia="仿宋_GB2312"/>
          <w:sz w:val="32"/>
          <w:szCs w:val="32"/>
        </w:rPr>
        <w:t>木制产业的发展可以带动交通、运输等相关产业的聚集和发展，构建一个有价值、有效率的产业集群，实现产业联动，促进相关产业发展及经济增长，从而推动区域经济发展。</w:t>
      </w:r>
    </w:p>
    <w:p w:rsidR="00E72414" w:rsidRDefault="006020C2" w:rsidP="00CF5995">
      <w:pPr>
        <w:snapToGrid w:val="0"/>
        <w:spacing w:line="600" w:lineRule="exact"/>
        <w:ind w:firstLineChars="200" w:firstLine="620"/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</w:pPr>
      <w:r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  <w:t>（三）社会效益：本方案的实施</w:t>
      </w:r>
      <w:r w:rsidR="00B90F07">
        <w:rPr>
          <w:rFonts w:ascii="Times New Roman" w:eastAsia="仿宋_GB2312" w:hAnsi="Times New Roman" w:cs="Times New Roman"/>
          <w:sz w:val="32"/>
          <w:szCs w:val="32"/>
          <w:shd w:val="clear" w:color="auto" w:fill="FFFFFF"/>
        </w:rPr>
        <w:t>有利于完善基础设施；</w:t>
      </w:r>
      <w:r>
        <w:rPr>
          <w:rFonts w:ascii="Times New Roman" w:eastAsia="仿宋_GB2312" w:hAnsi="Times New Roman" w:cs="Times New Roman" w:hint="eastAsia"/>
          <w:kern w:val="0"/>
          <w:sz w:val="31"/>
          <w:szCs w:val="31"/>
          <w:lang w:bidi="ar"/>
        </w:rPr>
        <w:t>有利于</w:t>
      </w:r>
      <w:r w:rsidR="00CF5995">
        <w:rPr>
          <w:rFonts w:ascii="Times New Roman" w:eastAsia="仿宋_GB2312" w:hAnsi="Times New Roman" w:cs="Times New Roman"/>
          <w:sz w:val="32"/>
          <w:szCs w:val="32"/>
          <w:shd w:val="clear" w:color="auto" w:fill="FFFFFF"/>
        </w:rPr>
        <w:t>增加就业机会，提高居民人均收入</w:t>
      </w:r>
      <w:r w:rsidR="00CF5995" w:rsidRPr="00F12AD1">
        <w:rPr>
          <w:rFonts w:ascii="Times New Roman" w:eastAsia="仿宋_GB2312" w:hAnsi="Times New Roman" w:cs="Times New Roman"/>
          <w:sz w:val="32"/>
          <w:szCs w:val="32"/>
          <w:shd w:val="clear" w:color="auto" w:fill="FFFFFF"/>
        </w:rPr>
        <w:t>。</w:t>
      </w:r>
    </w:p>
    <w:p w:rsidR="003E761A" w:rsidRPr="00F12AD1" w:rsidRDefault="006020C2" w:rsidP="003E761A">
      <w:pPr>
        <w:snapToGrid w:val="0"/>
        <w:spacing w:line="600" w:lineRule="exact"/>
        <w:ind w:firstLineChars="200" w:firstLine="62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kern w:val="0"/>
          <w:sz w:val="31"/>
          <w:szCs w:val="31"/>
          <w:lang w:bidi="ar"/>
        </w:rPr>
        <w:t>（四）生态效益：本方案成片开发项目</w:t>
      </w:r>
      <w:r w:rsidR="009354ED" w:rsidRPr="00F46F3A">
        <w:rPr>
          <w:rFonts w:eastAsia="仿宋_GB2312"/>
          <w:sz w:val="32"/>
          <w:szCs w:val="32"/>
        </w:rPr>
        <w:t>根据《工矿用地土壤环境管理办法（试行）》，加强工矿用地土壤和地下水环境保护监督管理，防治工矿用地土壤和地下水污染。</w:t>
      </w:r>
      <w:r w:rsidR="003E761A" w:rsidRPr="00F12AD1">
        <w:rPr>
          <w:rFonts w:ascii="Times New Roman" w:eastAsia="仿宋_GB2312" w:hAnsi="Times New Roman" w:cs="Times New Roman"/>
          <w:sz w:val="32"/>
          <w:szCs w:val="32"/>
        </w:rPr>
        <w:t>在土地利用开发、规划等过程中，将严格按照相关法律法规落实水环境保护措施，确保满足周边及下游水环境质量与安全要求。</w:t>
      </w:r>
    </w:p>
    <w:p w:rsidR="00E72414" w:rsidRDefault="000052D5" w:rsidP="003E761A">
      <w:pPr>
        <w:overflowPunct w:val="0"/>
        <w:spacing w:line="600" w:lineRule="exact"/>
        <w:ind w:firstLineChars="200" w:firstLine="620"/>
        <w:jc w:val="left"/>
        <w:rPr>
          <w:rFonts w:ascii="Times New Roman" w:eastAsia="黑体" w:hAnsi="Times New Roman" w:cs="Times New Roman"/>
          <w:kern w:val="0"/>
          <w:sz w:val="31"/>
          <w:szCs w:val="31"/>
          <w:lang w:bidi="ar"/>
        </w:rPr>
      </w:pPr>
      <w:r>
        <w:rPr>
          <w:rFonts w:ascii="Times New Roman" w:eastAsia="黑体" w:hAnsi="Times New Roman" w:cs="Times New Roman" w:hint="eastAsia"/>
          <w:kern w:val="0"/>
          <w:sz w:val="31"/>
          <w:szCs w:val="31"/>
          <w:lang w:bidi="ar"/>
        </w:rPr>
        <w:t>八</w:t>
      </w:r>
      <w:r w:rsidR="006020C2">
        <w:rPr>
          <w:rFonts w:ascii="Times New Roman" w:eastAsia="黑体" w:hAnsi="Times New Roman" w:cs="Times New Roman"/>
          <w:kern w:val="0"/>
          <w:sz w:val="31"/>
          <w:szCs w:val="31"/>
          <w:lang w:bidi="ar"/>
        </w:rPr>
        <w:t>、结论</w:t>
      </w:r>
    </w:p>
    <w:p w:rsidR="00E72414" w:rsidRPr="009A34F4" w:rsidRDefault="00312A11" w:rsidP="009A34F4">
      <w:pPr>
        <w:pStyle w:val="1"/>
        <w:spacing w:before="0" w:after="0" w:line="600" w:lineRule="exact"/>
        <w:ind w:firstLineChars="200" w:firstLine="620"/>
        <w:rPr>
          <w:rFonts w:ascii="Times New Roman" w:eastAsia="仿宋_GB2312" w:hAnsi="Times New Roman" w:cs="Times New Roman"/>
          <w:b w:val="0"/>
          <w:bCs w:val="0"/>
          <w:kern w:val="0"/>
          <w:sz w:val="31"/>
          <w:szCs w:val="31"/>
          <w:lang w:bidi="ar"/>
        </w:rPr>
      </w:pPr>
      <w:r>
        <w:rPr>
          <w:rFonts w:ascii="Times New Roman" w:eastAsia="仿宋_GB2312" w:hAnsi="Times New Roman" w:cs="Times New Roman"/>
          <w:b w:val="0"/>
          <w:bCs w:val="0"/>
          <w:kern w:val="0"/>
          <w:sz w:val="31"/>
          <w:szCs w:val="31"/>
          <w:lang w:bidi="ar"/>
        </w:rPr>
        <w:lastRenderedPageBreak/>
        <w:t>《</w:t>
      </w:r>
      <w:r w:rsidR="009A34F4" w:rsidRPr="009A34F4">
        <w:rPr>
          <w:rFonts w:ascii="Times New Roman" w:eastAsia="仿宋_GB2312" w:hAnsi="Times New Roman" w:cs="Times New Roman"/>
          <w:b w:val="0"/>
          <w:bCs w:val="0"/>
          <w:kern w:val="0"/>
          <w:sz w:val="31"/>
          <w:szCs w:val="31"/>
          <w:lang w:bidi="ar"/>
        </w:rPr>
        <w:t>仙游县</w:t>
      </w:r>
      <w:r w:rsidR="009A34F4" w:rsidRPr="009A34F4">
        <w:rPr>
          <w:rFonts w:ascii="Times New Roman" w:eastAsia="仿宋_GB2312" w:hAnsi="Times New Roman" w:cs="Times New Roman"/>
          <w:b w:val="0"/>
          <w:bCs w:val="0"/>
          <w:kern w:val="0"/>
          <w:sz w:val="31"/>
          <w:szCs w:val="31"/>
          <w:lang w:bidi="ar"/>
        </w:rPr>
        <w:t>2022</w:t>
      </w:r>
      <w:r w:rsidR="009A34F4" w:rsidRPr="009A34F4">
        <w:rPr>
          <w:rFonts w:ascii="Times New Roman" w:eastAsia="仿宋_GB2312" w:hAnsi="Times New Roman" w:cs="Times New Roman"/>
          <w:b w:val="0"/>
          <w:bCs w:val="0"/>
          <w:kern w:val="0"/>
          <w:sz w:val="31"/>
          <w:szCs w:val="31"/>
          <w:lang w:bidi="ar"/>
        </w:rPr>
        <w:t>年度第</w:t>
      </w:r>
      <w:r w:rsidR="009A34F4" w:rsidRPr="009A34F4">
        <w:rPr>
          <w:rFonts w:ascii="Times New Roman" w:eastAsia="仿宋_GB2312" w:hAnsi="Times New Roman" w:cs="Times New Roman" w:hint="eastAsia"/>
          <w:b w:val="0"/>
          <w:bCs w:val="0"/>
          <w:kern w:val="0"/>
          <w:sz w:val="31"/>
          <w:szCs w:val="31"/>
          <w:lang w:bidi="ar"/>
        </w:rPr>
        <w:t>二十二</w:t>
      </w:r>
      <w:r w:rsidR="009A34F4" w:rsidRPr="009A34F4">
        <w:rPr>
          <w:rFonts w:ascii="Times New Roman" w:eastAsia="仿宋_GB2312" w:hAnsi="Times New Roman" w:cs="Times New Roman"/>
          <w:b w:val="0"/>
          <w:bCs w:val="0"/>
          <w:kern w:val="0"/>
          <w:sz w:val="31"/>
          <w:szCs w:val="31"/>
          <w:lang w:bidi="ar"/>
        </w:rPr>
        <w:t>批次土地征收成片开发方案（大济度尾小微产业园）</w:t>
      </w:r>
      <w:r>
        <w:rPr>
          <w:rFonts w:ascii="Times New Roman" w:eastAsia="仿宋_GB2312" w:hAnsi="Times New Roman" w:cs="Times New Roman"/>
          <w:b w:val="0"/>
          <w:bCs w:val="0"/>
          <w:kern w:val="0"/>
          <w:sz w:val="31"/>
          <w:szCs w:val="31"/>
          <w:lang w:bidi="ar"/>
        </w:rPr>
        <w:t>》</w:t>
      </w:r>
      <w:r w:rsidR="006020C2" w:rsidRPr="009A34F4">
        <w:rPr>
          <w:rFonts w:ascii="Times New Roman" w:eastAsia="仿宋_GB2312" w:hAnsi="Times New Roman" w:cs="Times New Roman"/>
          <w:b w:val="0"/>
          <w:bCs w:val="0"/>
          <w:kern w:val="0"/>
          <w:sz w:val="31"/>
          <w:szCs w:val="31"/>
          <w:lang w:bidi="ar"/>
        </w:rPr>
        <w:t>符合土地征收成片开发的标准。</w:t>
      </w:r>
    </w:p>
    <w:p w:rsidR="00E72414" w:rsidRDefault="006020C2">
      <w:pPr>
        <w:overflowPunct w:val="0"/>
        <w:spacing w:line="600" w:lineRule="exact"/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72414" w:rsidRDefault="00E72414">
      <w:pPr>
        <w:rPr>
          <w:rFonts w:ascii="Times New Roman" w:hAnsi="Times New Roman" w:cs="Times New Roman"/>
          <w:sz w:val="28"/>
          <w:szCs w:val="28"/>
        </w:rPr>
        <w:sectPr w:rsidR="00E72414">
          <w:pgSz w:w="11906" w:h="16838"/>
          <w:pgMar w:top="1440" w:right="1797" w:bottom="1440" w:left="1797" w:header="851" w:footer="992" w:gutter="0"/>
          <w:cols w:space="425"/>
          <w:docGrid w:type="lines" w:linePitch="312"/>
        </w:sectPr>
      </w:pPr>
    </w:p>
    <w:p w:rsidR="00E72414" w:rsidRDefault="006020C2">
      <w:pPr>
        <w:pStyle w:val="3"/>
        <w:spacing w:line="415" w:lineRule="auto"/>
        <w:rPr>
          <w:rFonts w:ascii="Times New Roman" w:eastAsia="仿宋_GB2312" w:hAnsi="Times New Roman" w:cs="Times New Roman"/>
          <w:b w:val="0"/>
          <w:bCs w:val="0"/>
          <w:kern w:val="0"/>
          <w:sz w:val="28"/>
          <w:szCs w:val="28"/>
          <w:lang w:bidi="ar"/>
        </w:rPr>
      </w:pPr>
      <w:r>
        <w:rPr>
          <w:rFonts w:ascii="Times New Roman" w:eastAsia="仿宋_GB2312" w:hAnsi="Times New Roman" w:cs="Times New Roman"/>
          <w:b w:val="0"/>
          <w:bCs w:val="0"/>
          <w:kern w:val="0"/>
          <w:sz w:val="28"/>
          <w:szCs w:val="28"/>
          <w:lang w:bidi="ar"/>
        </w:rPr>
        <w:lastRenderedPageBreak/>
        <w:t>附图</w:t>
      </w:r>
      <w:r>
        <w:rPr>
          <w:rFonts w:ascii="Times New Roman" w:eastAsia="仿宋_GB2312" w:hAnsi="Times New Roman" w:cs="Times New Roman"/>
          <w:b w:val="0"/>
          <w:bCs w:val="0"/>
          <w:kern w:val="0"/>
          <w:sz w:val="28"/>
          <w:szCs w:val="28"/>
          <w:lang w:bidi="ar"/>
        </w:rPr>
        <w:t>1</w:t>
      </w:r>
      <w:r>
        <w:rPr>
          <w:rFonts w:ascii="Times New Roman" w:eastAsia="仿宋_GB2312" w:hAnsi="Times New Roman" w:cs="Times New Roman"/>
          <w:b w:val="0"/>
          <w:bCs w:val="0"/>
          <w:kern w:val="0"/>
          <w:sz w:val="28"/>
          <w:szCs w:val="28"/>
          <w:lang w:bidi="ar"/>
        </w:rPr>
        <w:t>：位置示意图</w:t>
      </w:r>
    </w:p>
    <w:p w:rsidR="00E72414" w:rsidRDefault="00A95E5E">
      <w:pPr>
        <w:jc w:val="center"/>
        <w:rPr>
          <w:rFonts w:ascii="Times New Roman" w:eastAsia="仿宋_GB2312" w:hAnsi="Times New Roman" w:cs="Times New Roman"/>
          <w:b/>
          <w:bCs/>
          <w:kern w:val="0"/>
          <w:sz w:val="28"/>
          <w:szCs w:val="28"/>
          <w:lang w:bidi="ar"/>
        </w:rPr>
      </w:pPr>
      <w:r>
        <w:rPr>
          <w:rFonts w:ascii="Times New Roman" w:eastAsia="仿宋_GB2312" w:hAnsi="Times New Roman" w:cs="Times New Roman"/>
          <w:b/>
          <w:bCs/>
          <w:noProof/>
          <w:kern w:val="0"/>
          <w:sz w:val="28"/>
          <w:szCs w:val="28"/>
        </w:rPr>
        <w:drawing>
          <wp:inline distT="0" distB="0" distL="0" distR="0">
            <wp:extent cx="6645910" cy="8910708"/>
            <wp:effectExtent l="0" t="0" r="2540" b="5080"/>
            <wp:docPr id="1" name="图片 1" descr="E:\2022年项目\1仙游县大济镇成片开发\5录制系统的各种材料\3公示稿\01位置示意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2年项目\1仙游县大济镇成片开发\5录制系统的各种材料\3公示稿\01位置示意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1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E72414">
      <w:pgSz w:w="11906" w:h="16838"/>
      <w:pgMar w:top="720" w:right="720" w:bottom="720" w:left="720" w:header="851" w:footer="992" w:gutter="0"/>
      <w:cols w:space="425"/>
      <w:docGrid w:type="linesAndChar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F7219C"/>
    <w:multiLevelType w:val="hybridMultilevel"/>
    <w:tmpl w:val="E4F66FD6"/>
    <w:lvl w:ilvl="0" w:tplc="4246F33A">
      <w:start w:val="1"/>
      <w:numFmt w:val="decimal"/>
      <w:lvlText w:val="%1、"/>
      <w:lvlJc w:val="left"/>
      <w:pPr>
        <w:ind w:left="1063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51328348">
      <w:start w:val="1"/>
      <w:numFmt w:val="decimal"/>
      <w:suff w:val="space"/>
      <w:lvlText w:val="%4、"/>
      <w:lvlJc w:val="left"/>
      <w:pPr>
        <w:ind w:left="1680" w:hanging="420"/>
      </w:pPr>
      <w:rPr>
        <w:rFonts w:hint="eastAsia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5F700E6"/>
    <w:multiLevelType w:val="multilevel"/>
    <w:tmpl w:val="65F700E6"/>
    <w:lvl w:ilvl="0">
      <w:start w:val="1"/>
      <w:numFmt w:val="decimal"/>
      <w:suff w:val="space"/>
      <w:lvlText w:val="%1、"/>
      <w:lvlJc w:val="left"/>
      <w:pPr>
        <w:ind w:left="896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400" w:hanging="420"/>
      </w:pPr>
    </w:lvl>
    <w:lvl w:ilvl="2">
      <w:start w:val="1"/>
      <w:numFmt w:val="lowerRoman"/>
      <w:lvlText w:val="%3."/>
      <w:lvlJc w:val="right"/>
      <w:pPr>
        <w:ind w:left="1820" w:hanging="420"/>
      </w:pPr>
    </w:lvl>
    <w:lvl w:ilvl="3">
      <w:start w:val="1"/>
      <w:numFmt w:val="decimal"/>
      <w:lvlText w:val="%4."/>
      <w:lvlJc w:val="left"/>
      <w:pPr>
        <w:ind w:left="2240" w:hanging="420"/>
      </w:pPr>
    </w:lvl>
    <w:lvl w:ilvl="4">
      <w:start w:val="1"/>
      <w:numFmt w:val="lowerLetter"/>
      <w:lvlText w:val="%5)"/>
      <w:lvlJc w:val="left"/>
      <w:pPr>
        <w:ind w:left="2660" w:hanging="420"/>
      </w:pPr>
    </w:lvl>
    <w:lvl w:ilvl="5">
      <w:start w:val="1"/>
      <w:numFmt w:val="lowerRoman"/>
      <w:lvlText w:val="%6."/>
      <w:lvlJc w:val="right"/>
      <w:pPr>
        <w:ind w:left="3080" w:hanging="420"/>
      </w:pPr>
    </w:lvl>
    <w:lvl w:ilvl="6">
      <w:start w:val="1"/>
      <w:numFmt w:val="decimal"/>
      <w:lvlText w:val="%7."/>
      <w:lvlJc w:val="left"/>
      <w:pPr>
        <w:ind w:left="3500" w:hanging="420"/>
      </w:pPr>
    </w:lvl>
    <w:lvl w:ilvl="7">
      <w:start w:val="1"/>
      <w:numFmt w:val="lowerLetter"/>
      <w:lvlText w:val="%8)"/>
      <w:lvlJc w:val="left"/>
      <w:pPr>
        <w:ind w:left="3920" w:hanging="420"/>
      </w:pPr>
    </w:lvl>
    <w:lvl w:ilvl="8">
      <w:start w:val="1"/>
      <w:numFmt w:val="lowerRoman"/>
      <w:lvlText w:val="%9."/>
      <w:lvlJc w:val="right"/>
      <w:pPr>
        <w:ind w:left="434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2A55"/>
    <w:rsid w:val="000006D4"/>
    <w:rsid w:val="00004EBC"/>
    <w:rsid w:val="000052D5"/>
    <w:rsid w:val="00023701"/>
    <w:rsid w:val="00041CCE"/>
    <w:rsid w:val="0005467B"/>
    <w:rsid w:val="00060D4F"/>
    <w:rsid w:val="00077062"/>
    <w:rsid w:val="00077726"/>
    <w:rsid w:val="00093DD0"/>
    <w:rsid w:val="000969B3"/>
    <w:rsid w:val="000B3D7B"/>
    <w:rsid w:val="000B48FD"/>
    <w:rsid w:val="000B6C40"/>
    <w:rsid w:val="000D4EF6"/>
    <w:rsid w:val="000F02CA"/>
    <w:rsid w:val="00105092"/>
    <w:rsid w:val="0013207B"/>
    <w:rsid w:val="001419A4"/>
    <w:rsid w:val="00161B0D"/>
    <w:rsid w:val="00161FC2"/>
    <w:rsid w:val="00170EC6"/>
    <w:rsid w:val="00190AD9"/>
    <w:rsid w:val="001B0248"/>
    <w:rsid w:val="001B2602"/>
    <w:rsid w:val="001F00F4"/>
    <w:rsid w:val="0020783F"/>
    <w:rsid w:val="00212546"/>
    <w:rsid w:val="00244970"/>
    <w:rsid w:val="0024707F"/>
    <w:rsid w:val="00262566"/>
    <w:rsid w:val="00282405"/>
    <w:rsid w:val="00290531"/>
    <w:rsid w:val="002B00A2"/>
    <w:rsid w:val="002F75B2"/>
    <w:rsid w:val="00310F42"/>
    <w:rsid w:val="00312A11"/>
    <w:rsid w:val="003135AD"/>
    <w:rsid w:val="00314F42"/>
    <w:rsid w:val="00336077"/>
    <w:rsid w:val="00347784"/>
    <w:rsid w:val="00353FAA"/>
    <w:rsid w:val="0036787B"/>
    <w:rsid w:val="003748F3"/>
    <w:rsid w:val="0039266A"/>
    <w:rsid w:val="003D5B2E"/>
    <w:rsid w:val="003E761A"/>
    <w:rsid w:val="003F074B"/>
    <w:rsid w:val="0043416B"/>
    <w:rsid w:val="00441869"/>
    <w:rsid w:val="00451BE2"/>
    <w:rsid w:val="00455CD3"/>
    <w:rsid w:val="00461CF3"/>
    <w:rsid w:val="004B49AE"/>
    <w:rsid w:val="004E2B73"/>
    <w:rsid w:val="004E5550"/>
    <w:rsid w:val="0050081E"/>
    <w:rsid w:val="00503947"/>
    <w:rsid w:val="00504642"/>
    <w:rsid w:val="00524741"/>
    <w:rsid w:val="00535701"/>
    <w:rsid w:val="005501A8"/>
    <w:rsid w:val="00554CF8"/>
    <w:rsid w:val="00555662"/>
    <w:rsid w:val="00555A23"/>
    <w:rsid w:val="0056332F"/>
    <w:rsid w:val="005650B4"/>
    <w:rsid w:val="00565D27"/>
    <w:rsid w:val="00590607"/>
    <w:rsid w:val="005C1199"/>
    <w:rsid w:val="005C2A0C"/>
    <w:rsid w:val="005E3CB7"/>
    <w:rsid w:val="006020C2"/>
    <w:rsid w:val="00605235"/>
    <w:rsid w:val="00605652"/>
    <w:rsid w:val="00607F8A"/>
    <w:rsid w:val="00621E0F"/>
    <w:rsid w:val="006225CE"/>
    <w:rsid w:val="00622DA3"/>
    <w:rsid w:val="00636B05"/>
    <w:rsid w:val="00657DED"/>
    <w:rsid w:val="00661C1C"/>
    <w:rsid w:val="00674F89"/>
    <w:rsid w:val="006A023C"/>
    <w:rsid w:val="006C380A"/>
    <w:rsid w:val="006D3327"/>
    <w:rsid w:val="006D5485"/>
    <w:rsid w:val="006E66D7"/>
    <w:rsid w:val="006F29DB"/>
    <w:rsid w:val="006F5DDB"/>
    <w:rsid w:val="00705170"/>
    <w:rsid w:val="007211B9"/>
    <w:rsid w:val="0075218A"/>
    <w:rsid w:val="007843BB"/>
    <w:rsid w:val="007876D1"/>
    <w:rsid w:val="0079179B"/>
    <w:rsid w:val="007C16D3"/>
    <w:rsid w:val="007D396F"/>
    <w:rsid w:val="007F4EAD"/>
    <w:rsid w:val="00820F82"/>
    <w:rsid w:val="00823E09"/>
    <w:rsid w:val="00834F22"/>
    <w:rsid w:val="00837764"/>
    <w:rsid w:val="0084271A"/>
    <w:rsid w:val="008637CE"/>
    <w:rsid w:val="008641E4"/>
    <w:rsid w:val="0086783F"/>
    <w:rsid w:val="00876841"/>
    <w:rsid w:val="0088296D"/>
    <w:rsid w:val="00883A68"/>
    <w:rsid w:val="00884B9D"/>
    <w:rsid w:val="0088551F"/>
    <w:rsid w:val="008A2E35"/>
    <w:rsid w:val="008F672B"/>
    <w:rsid w:val="00911A4A"/>
    <w:rsid w:val="0092657A"/>
    <w:rsid w:val="009354ED"/>
    <w:rsid w:val="009358C5"/>
    <w:rsid w:val="00975942"/>
    <w:rsid w:val="00980685"/>
    <w:rsid w:val="009A34F4"/>
    <w:rsid w:val="009C11C9"/>
    <w:rsid w:val="009C22F7"/>
    <w:rsid w:val="009C2A55"/>
    <w:rsid w:val="009C2B39"/>
    <w:rsid w:val="009F0041"/>
    <w:rsid w:val="009F7289"/>
    <w:rsid w:val="00A04188"/>
    <w:rsid w:val="00A216AC"/>
    <w:rsid w:val="00A4027A"/>
    <w:rsid w:val="00A40770"/>
    <w:rsid w:val="00A51F81"/>
    <w:rsid w:val="00A64C86"/>
    <w:rsid w:val="00A70A31"/>
    <w:rsid w:val="00A90E3F"/>
    <w:rsid w:val="00A95E5E"/>
    <w:rsid w:val="00A96229"/>
    <w:rsid w:val="00AB4FA1"/>
    <w:rsid w:val="00AD63BB"/>
    <w:rsid w:val="00AF5FDF"/>
    <w:rsid w:val="00AF6DF1"/>
    <w:rsid w:val="00B01908"/>
    <w:rsid w:val="00B21577"/>
    <w:rsid w:val="00B62981"/>
    <w:rsid w:val="00B639B5"/>
    <w:rsid w:val="00B75F03"/>
    <w:rsid w:val="00B7756F"/>
    <w:rsid w:val="00B90F07"/>
    <w:rsid w:val="00BB1789"/>
    <w:rsid w:val="00BB5C3C"/>
    <w:rsid w:val="00BC3A36"/>
    <w:rsid w:val="00C04339"/>
    <w:rsid w:val="00C04F61"/>
    <w:rsid w:val="00C12683"/>
    <w:rsid w:val="00C2749E"/>
    <w:rsid w:val="00C333A6"/>
    <w:rsid w:val="00C352A2"/>
    <w:rsid w:val="00C41A56"/>
    <w:rsid w:val="00C54201"/>
    <w:rsid w:val="00C60CE6"/>
    <w:rsid w:val="00C64F5D"/>
    <w:rsid w:val="00C94A53"/>
    <w:rsid w:val="00CB66FC"/>
    <w:rsid w:val="00CB676F"/>
    <w:rsid w:val="00CE110A"/>
    <w:rsid w:val="00CF0FB7"/>
    <w:rsid w:val="00CF5995"/>
    <w:rsid w:val="00CF7F43"/>
    <w:rsid w:val="00D00AC4"/>
    <w:rsid w:val="00D15989"/>
    <w:rsid w:val="00D30562"/>
    <w:rsid w:val="00D60F24"/>
    <w:rsid w:val="00D631E7"/>
    <w:rsid w:val="00DA1D01"/>
    <w:rsid w:val="00DB4013"/>
    <w:rsid w:val="00DB5ADD"/>
    <w:rsid w:val="00DE06B5"/>
    <w:rsid w:val="00DF0D55"/>
    <w:rsid w:val="00DF5F9F"/>
    <w:rsid w:val="00E13F45"/>
    <w:rsid w:val="00E306AC"/>
    <w:rsid w:val="00E44717"/>
    <w:rsid w:val="00E46C1C"/>
    <w:rsid w:val="00E63632"/>
    <w:rsid w:val="00E71536"/>
    <w:rsid w:val="00E72414"/>
    <w:rsid w:val="00EA2F93"/>
    <w:rsid w:val="00EC4AA5"/>
    <w:rsid w:val="00ED5C8B"/>
    <w:rsid w:val="00EE551E"/>
    <w:rsid w:val="00EF1280"/>
    <w:rsid w:val="00F330B0"/>
    <w:rsid w:val="00F36889"/>
    <w:rsid w:val="00F43FCE"/>
    <w:rsid w:val="00F45506"/>
    <w:rsid w:val="00F51544"/>
    <w:rsid w:val="00F60B08"/>
    <w:rsid w:val="00F62896"/>
    <w:rsid w:val="00F71389"/>
    <w:rsid w:val="00F81DD6"/>
    <w:rsid w:val="00F86494"/>
    <w:rsid w:val="00FB59FA"/>
    <w:rsid w:val="00FC7D03"/>
    <w:rsid w:val="00FE5782"/>
    <w:rsid w:val="1CFA0A64"/>
    <w:rsid w:val="36C66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Char"/>
    <w:uiPriority w:val="9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Pr>
      <w:b/>
      <w:bCs/>
      <w:kern w:val="44"/>
      <w:sz w:val="44"/>
      <w:szCs w:val="44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character" w:customStyle="1" w:styleId="3Char">
    <w:name w:val="标题 3 Char"/>
    <w:basedOn w:val="a0"/>
    <w:link w:val="3"/>
    <w:uiPriority w:val="9"/>
    <w:rPr>
      <w:b/>
      <w:bCs/>
      <w:sz w:val="32"/>
      <w:szCs w:val="32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character" w:customStyle="1" w:styleId="Bodytext1">
    <w:name w:val="Body text|1_"/>
    <w:link w:val="Bodytext10"/>
    <w:qFormat/>
    <w:rsid w:val="0039266A"/>
    <w:rPr>
      <w:rFonts w:ascii="宋体" w:hAnsi="宋体" w:cs="宋体"/>
      <w:sz w:val="28"/>
      <w:szCs w:val="28"/>
      <w:lang w:val="zh-TW" w:eastAsia="zh-TW" w:bidi="zh-TW"/>
    </w:rPr>
  </w:style>
  <w:style w:type="paragraph" w:customStyle="1" w:styleId="Bodytext10">
    <w:name w:val="Body text|1"/>
    <w:basedOn w:val="a"/>
    <w:link w:val="Bodytext1"/>
    <w:qFormat/>
    <w:rsid w:val="0039266A"/>
    <w:pPr>
      <w:spacing w:after="280"/>
      <w:jc w:val="left"/>
    </w:pPr>
    <w:rPr>
      <w:rFonts w:ascii="宋体" w:hAnsi="宋体" w:cs="宋体"/>
      <w:kern w:val="0"/>
      <w:sz w:val="28"/>
      <w:szCs w:val="28"/>
      <w:lang w:val="zh-TW" w:eastAsia="zh-TW" w:bidi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Char"/>
    <w:uiPriority w:val="9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Pr>
      <w:b/>
      <w:bCs/>
      <w:kern w:val="44"/>
      <w:sz w:val="44"/>
      <w:szCs w:val="44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character" w:customStyle="1" w:styleId="3Char">
    <w:name w:val="标题 3 Char"/>
    <w:basedOn w:val="a0"/>
    <w:link w:val="3"/>
    <w:uiPriority w:val="9"/>
    <w:rPr>
      <w:b/>
      <w:bCs/>
      <w:sz w:val="32"/>
      <w:szCs w:val="32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character" w:customStyle="1" w:styleId="Bodytext1">
    <w:name w:val="Body text|1_"/>
    <w:link w:val="Bodytext10"/>
    <w:qFormat/>
    <w:rsid w:val="0039266A"/>
    <w:rPr>
      <w:rFonts w:ascii="宋体" w:hAnsi="宋体" w:cs="宋体"/>
      <w:sz w:val="28"/>
      <w:szCs w:val="28"/>
      <w:lang w:val="zh-TW" w:eastAsia="zh-TW" w:bidi="zh-TW"/>
    </w:rPr>
  </w:style>
  <w:style w:type="paragraph" w:customStyle="1" w:styleId="Bodytext10">
    <w:name w:val="Body text|1"/>
    <w:basedOn w:val="a"/>
    <w:link w:val="Bodytext1"/>
    <w:qFormat/>
    <w:rsid w:val="0039266A"/>
    <w:pPr>
      <w:spacing w:after="280"/>
      <w:jc w:val="left"/>
    </w:pPr>
    <w:rPr>
      <w:rFonts w:ascii="宋体" w:hAnsi="宋体" w:cs="宋体"/>
      <w:kern w:val="0"/>
      <w:sz w:val="28"/>
      <w:szCs w:val="28"/>
      <w:lang w:val="zh-TW" w:eastAsia="zh-TW" w:bidi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558</TotalTime>
  <Pages>6</Pages>
  <Words>316</Words>
  <Characters>1807</Characters>
  <Application>Microsoft Office Word</Application>
  <DocSecurity>0</DocSecurity>
  <Lines>15</Lines>
  <Paragraphs>4</Paragraphs>
  <ScaleCrop>false</ScaleCrop>
  <Company>微软中国</Company>
  <LinksUpToDate>false</LinksUpToDate>
  <CharactersWithSpaces>2119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xb21cn</cp:lastModifiedBy>
  <cp:revision>212</cp:revision>
  <cp:lastPrinted>2021-04-15T09:16:00Z</cp:lastPrinted>
  <dcterms:created xsi:type="dcterms:W3CDTF">2021-03-24T10:43:00Z</dcterms:created>
  <dcterms:modified xsi:type="dcterms:W3CDTF">2022-12-26T02:52:00Z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BCF4D38FCB8F4E8FA63ED4F3E12E9C50</vt:lpwstr>
  </property>
</Properties>
</file>