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imes New Roman" w:hAnsi="Times New Roman" w:eastAsia="宋体" w:cs="Times New Roman"/>
          <w:kern w:val="0"/>
          <w:sz w:val="36"/>
          <w:szCs w:val="36"/>
          <w:lang w:bidi="ar"/>
        </w:rPr>
      </w:pPr>
      <w:r>
        <w:rPr>
          <w:rFonts w:ascii="Times New Roman" w:hAnsi="Times New Roman" w:eastAsia="宋体" w:cs="Times New Roman"/>
          <w:kern w:val="0"/>
          <w:sz w:val="36"/>
          <w:szCs w:val="36"/>
          <w:lang w:bidi="ar"/>
        </w:rPr>
        <w:t>附件</w:t>
      </w:r>
    </w:p>
    <w:p>
      <w:pPr>
        <w:pStyle w:val="5"/>
        <w:jc w:val="center"/>
        <w:rPr>
          <w:rFonts w:ascii="Times New Roman" w:hAnsi="Times New Roman" w:eastAsia="宋体" w:cs="Times New Roman"/>
        </w:rPr>
      </w:pPr>
      <w:r>
        <w:rPr>
          <w:rFonts w:ascii="Times New Roman" w:hAnsi="Times New Roman" w:eastAsia="宋体" w:cs="Times New Roman"/>
        </w:rPr>
        <w:t>仙游县2022年度第</w:t>
      </w:r>
      <w:r>
        <w:rPr>
          <w:rFonts w:hint="eastAsia" w:ascii="Times New Roman" w:hAnsi="Times New Roman" w:eastAsia="宋体" w:cs="Times New Roman"/>
        </w:rPr>
        <w:t>二十</w:t>
      </w:r>
      <w:r>
        <w:rPr>
          <w:rFonts w:ascii="Times New Roman" w:hAnsi="Times New Roman" w:eastAsia="宋体" w:cs="Times New Roman"/>
        </w:rPr>
        <w:t>批次土地征收成片开发方案（</w:t>
      </w:r>
      <w:r>
        <w:rPr>
          <w:rFonts w:hint="eastAsia" w:ascii="Times New Roman" w:hAnsi="Times New Roman" w:eastAsia="宋体" w:cs="Times New Roman"/>
          <w:lang w:eastAsia="zh-CN"/>
        </w:rPr>
        <w:t>榜头</w:t>
      </w:r>
      <w:r>
        <w:rPr>
          <w:rFonts w:hint="eastAsia" w:ascii="Times New Roman" w:hAnsi="Times New Roman" w:eastAsia="宋体" w:cs="Times New Roman"/>
          <w:lang w:val="en-US" w:eastAsia="zh-CN"/>
        </w:rPr>
        <w:t>香文化</w:t>
      </w:r>
      <w:r>
        <w:rPr>
          <w:rFonts w:hint="eastAsia" w:ascii="Times New Roman" w:hAnsi="Times New Roman" w:eastAsia="宋体" w:cs="Times New Roman"/>
          <w:lang w:eastAsia="zh-CN"/>
        </w:rPr>
        <w:t>小微产业园</w:t>
      </w:r>
      <w:r>
        <w:rPr>
          <w:rFonts w:ascii="Times New Roman" w:hAnsi="Times New Roman" w:eastAsia="宋体" w:cs="Times New Roman"/>
        </w:rPr>
        <w:t>）</w:t>
      </w:r>
    </w:p>
    <w:p>
      <w:pPr>
        <w:widowControl/>
        <w:tabs>
          <w:tab w:val="left" w:pos="2730"/>
        </w:tabs>
        <w:jc w:val="left"/>
        <w:outlineLvl w:val="1"/>
        <w:rPr>
          <w:rFonts w:ascii="Times New Roman" w:hAnsi="Times New Roman" w:eastAsia="黑体" w:cs="Times New Roman"/>
          <w:kern w:val="0"/>
          <w:sz w:val="31"/>
          <w:szCs w:val="31"/>
          <w:lang w:bidi="ar"/>
        </w:rPr>
      </w:pPr>
      <w:r>
        <w:rPr>
          <w:rFonts w:ascii="Times New Roman" w:hAnsi="Times New Roman" w:eastAsia="黑体" w:cs="Times New Roman"/>
          <w:kern w:val="0"/>
          <w:sz w:val="31"/>
          <w:szCs w:val="31"/>
          <w:lang w:bidi="ar"/>
        </w:rPr>
        <w:t>一、编制依据</w:t>
      </w:r>
      <w:r>
        <w:rPr>
          <w:rFonts w:ascii="Times New Roman" w:hAnsi="Times New Roman" w:eastAsia="黑体" w:cs="Times New Roman"/>
          <w:kern w:val="0"/>
          <w:sz w:val="31"/>
          <w:szCs w:val="31"/>
          <w:lang w:bidi="ar"/>
        </w:rPr>
        <w:tab/>
      </w:r>
    </w:p>
    <w:p>
      <w:pPr>
        <w:overflowPunct w:val="0"/>
        <w:spacing w:line="600" w:lineRule="exact"/>
        <w:ind w:firstLine="620" w:firstLineChars="200"/>
        <w:jc w:val="left"/>
        <w:rPr>
          <w:rFonts w:ascii="Times New Roman" w:hAnsi="Times New Roman" w:eastAsia="仿宋_GB2312" w:cs="Times New Roman"/>
          <w:kern w:val="0"/>
          <w:sz w:val="31"/>
          <w:szCs w:val="31"/>
          <w:lang w:bidi="ar"/>
        </w:rPr>
      </w:pPr>
      <w:r>
        <w:rPr>
          <w:rFonts w:ascii="Times New Roman" w:hAnsi="Times New Roman" w:eastAsia="仿宋_GB2312" w:cs="Times New Roman"/>
          <w:kern w:val="0"/>
          <w:sz w:val="31"/>
          <w:szCs w:val="31"/>
          <w:lang w:bidi="ar"/>
        </w:rPr>
        <w:t>依据《中华人民共和国土地管理法》（2019年修正</w:t>
      </w:r>
      <w:r>
        <w:rPr>
          <w:rFonts w:hint="eastAsia" w:ascii="Times New Roman" w:hAnsi="Times New Roman" w:eastAsia="仿宋_GB2312" w:cs="Times New Roman"/>
          <w:kern w:val="0"/>
          <w:sz w:val="31"/>
          <w:szCs w:val="31"/>
          <w:lang w:bidi="ar"/>
        </w:rPr>
        <w:t>版</w:t>
      </w:r>
      <w:r>
        <w:rPr>
          <w:rFonts w:ascii="Times New Roman" w:hAnsi="Times New Roman" w:eastAsia="仿宋_GB2312" w:cs="Times New Roman"/>
          <w:kern w:val="0"/>
          <w:sz w:val="31"/>
          <w:szCs w:val="31"/>
          <w:lang w:bidi="ar"/>
        </w:rPr>
        <w:t>）、《土地征收成片开发标准（试行）》、《国土空间调查、规划、用途管制用地用海分类指南》（试行）、《仙游县国民经济和社会发展第十四个五年规划和二</w:t>
      </w:r>
      <w:r>
        <w:rPr>
          <w:rFonts w:ascii="Times New Roman" w:hAnsi="Times New Roman" w:eastAsia="宋体" w:cs="Times New Roman"/>
          <w:kern w:val="0"/>
          <w:sz w:val="31"/>
          <w:szCs w:val="31"/>
          <w:lang w:bidi="ar"/>
        </w:rPr>
        <w:t>〇</w:t>
      </w:r>
      <w:r>
        <w:rPr>
          <w:rFonts w:ascii="Times New Roman" w:hAnsi="Times New Roman" w:eastAsia="仿宋_GB2312" w:cs="Times New Roman"/>
          <w:kern w:val="0"/>
          <w:sz w:val="31"/>
          <w:szCs w:val="31"/>
          <w:lang w:bidi="ar"/>
        </w:rPr>
        <w:t>三五年远景目标纲要》编制《仙游县2022年度第</w:t>
      </w:r>
      <w:r>
        <w:rPr>
          <w:rFonts w:hint="eastAsia" w:ascii="Times New Roman" w:hAnsi="Times New Roman" w:eastAsia="仿宋_GB2312" w:cs="Times New Roman"/>
          <w:kern w:val="0"/>
          <w:sz w:val="31"/>
          <w:szCs w:val="31"/>
          <w:lang w:bidi="ar"/>
        </w:rPr>
        <w:t>二十</w:t>
      </w:r>
      <w:r>
        <w:rPr>
          <w:rFonts w:ascii="Times New Roman" w:hAnsi="Times New Roman" w:eastAsia="仿宋_GB2312" w:cs="Times New Roman"/>
          <w:kern w:val="0"/>
          <w:sz w:val="31"/>
          <w:szCs w:val="31"/>
          <w:lang w:bidi="ar"/>
        </w:rPr>
        <w:t>批次土地征收成片开发方案（</w:t>
      </w:r>
      <w:r>
        <w:rPr>
          <w:rFonts w:hint="eastAsia" w:ascii="Times New Roman" w:hAnsi="Times New Roman" w:eastAsia="仿宋_GB2312" w:cs="Times New Roman"/>
          <w:kern w:val="0"/>
          <w:sz w:val="31"/>
          <w:szCs w:val="31"/>
          <w:lang w:eastAsia="zh-CN" w:bidi="ar"/>
        </w:rPr>
        <w:t>榜头</w:t>
      </w:r>
      <w:r>
        <w:rPr>
          <w:rFonts w:hint="eastAsia" w:ascii="Times New Roman" w:hAnsi="Times New Roman" w:eastAsia="仿宋_GB2312" w:cs="Times New Roman"/>
          <w:kern w:val="0"/>
          <w:sz w:val="31"/>
          <w:szCs w:val="31"/>
          <w:lang w:val="en-US" w:eastAsia="zh-CN" w:bidi="ar"/>
        </w:rPr>
        <w:t>香文化</w:t>
      </w:r>
      <w:r>
        <w:rPr>
          <w:rFonts w:hint="eastAsia" w:ascii="Times New Roman" w:hAnsi="Times New Roman" w:eastAsia="仿宋_GB2312" w:cs="Times New Roman"/>
          <w:kern w:val="0"/>
          <w:sz w:val="31"/>
          <w:szCs w:val="31"/>
          <w:lang w:eastAsia="zh-CN" w:bidi="ar"/>
        </w:rPr>
        <w:t>小微产业园</w:t>
      </w:r>
      <w:r>
        <w:rPr>
          <w:rFonts w:ascii="Times New Roman" w:hAnsi="Times New Roman" w:eastAsia="仿宋_GB2312" w:cs="Times New Roman"/>
          <w:kern w:val="0"/>
          <w:sz w:val="31"/>
          <w:szCs w:val="31"/>
          <w:lang w:bidi="ar"/>
        </w:rPr>
        <w:t>）》。</w:t>
      </w:r>
    </w:p>
    <w:p>
      <w:pPr>
        <w:widowControl/>
        <w:tabs>
          <w:tab w:val="left" w:pos="2730"/>
        </w:tabs>
        <w:jc w:val="left"/>
        <w:outlineLvl w:val="1"/>
        <w:rPr>
          <w:rFonts w:ascii="Times New Roman" w:hAnsi="Times New Roman" w:eastAsia="黑体" w:cs="Times New Roman"/>
          <w:kern w:val="0"/>
          <w:sz w:val="31"/>
          <w:szCs w:val="31"/>
          <w:lang w:bidi="ar"/>
        </w:rPr>
      </w:pPr>
      <w:r>
        <w:rPr>
          <w:rFonts w:ascii="Times New Roman" w:hAnsi="Times New Roman" w:eastAsia="黑体" w:cs="Times New Roman"/>
          <w:kern w:val="0"/>
          <w:sz w:val="31"/>
          <w:szCs w:val="31"/>
          <w:lang w:bidi="ar"/>
        </w:rPr>
        <w:t>二、基本情况</w:t>
      </w:r>
    </w:p>
    <w:p>
      <w:pPr>
        <w:overflowPunct w:val="0"/>
        <w:spacing w:line="600" w:lineRule="exact"/>
        <w:ind w:firstLine="620" w:firstLineChars="200"/>
        <w:jc w:val="left"/>
        <w:rPr>
          <w:rFonts w:ascii="Times New Roman" w:hAnsi="Times New Roman" w:eastAsia="仿宋_GB2312" w:cs="Times New Roman"/>
          <w:kern w:val="0"/>
          <w:sz w:val="31"/>
          <w:szCs w:val="31"/>
          <w:lang w:bidi="ar"/>
        </w:rPr>
      </w:pPr>
      <w:r>
        <w:rPr>
          <w:rFonts w:ascii="Times New Roman" w:hAnsi="Times New Roman" w:eastAsia="仿宋_GB2312" w:cs="Times New Roman"/>
          <w:kern w:val="0"/>
          <w:sz w:val="31"/>
          <w:szCs w:val="31"/>
          <w:lang w:bidi="ar"/>
        </w:rPr>
        <w:t>本方案涉及仙游县</w:t>
      </w:r>
      <w:r>
        <w:rPr>
          <w:rFonts w:hint="eastAsia" w:ascii="Times New Roman" w:hAnsi="Times New Roman" w:eastAsia="仿宋_GB2312" w:cs="Times New Roman"/>
          <w:kern w:val="0"/>
          <w:sz w:val="31"/>
          <w:szCs w:val="31"/>
          <w:lang w:eastAsia="zh-CN" w:bidi="ar"/>
        </w:rPr>
        <w:t>榜头镇泉山社区、龙腾社区</w:t>
      </w:r>
      <w:r>
        <w:rPr>
          <w:rFonts w:ascii="Times New Roman" w:hAnsi="Times New Roman" w:eastAsia="仿宋_GB2312" w:cs="Times New Roman"/>
          <w:kern w:val="0"/>
          <w:sz w:val="31"/>
          <w:szCs w:val="31"/>
          <w:lang w:bidi="ar"/>
        </w:rPr>
        <w:t>，共</w:t>
      </w:r>
      <w:r>
        <w:rPr>
          <w:rFonts w:hint="eastAsia" w:ascii="Times New Roman" w:hAnsi="Times New Roman" w:eastAsia="仿宋_GB2312" w:cs="Times New Roman"/>
          <w:kern w:val="0"/>
          <w:sz w:val="31"/>
          <w:szCs w:val="31"/>
          <w:lang w:val="en-US" w:eastAsia="zh-CN" w:bidi="ar"/>
        </w:rPr>
        <w:t>1</w:t>
      </w:r>
      <w:r>
        <w:rPr>
          <w:rFonts w:ascii="Times New Roman" w:hAnsi="Times New Roman" w:eastAsia="仿宋_GB2312" w:cs="Times New Roman"/>
          <w:kern w:val="0"/>
          <w:sz w:val="31"/>
          <w:szCs w:val="31"/>
          <w:lang w:bidi="ar"/>
        </w:rPr>
        <w:t>个镇</w:t>
      </w:r>
      <w:r>
        <w:rPr>
          <w:rFonts w:hint="eastAsia" w:ascii="Times New Roman" w:hAnsi="Times New Roman" w:eastAsia="仿宋_GB2312" w:cs="Times New Roman"/>
          <w:kern w:val="0"/>
          <w:sz w:val="31"/>
          <w:szCs w:val="31"/>
          <w:lang w:val="en-US" w:eastAsia="zh-CN" w:bidi="ar"/>
        </w:rPr>
        <w:t>2</w:t>
      </w:r>
      <w:r>
        <w:rPr>
          <w:rFonts w:ascii="Times New Roman" w:hAnsi="Times New Roman" w:eastAsia="仿宋_GB2312" w:cs="Times New Roman"/>
          <w:kern w:val="0"/>
          <w:sz w:val="31"/>
          <w:szCs w:val="31"/>
          <w:lang w:bidi="ar"/>
        </w:rPr>
        <w:t>个社区；涉及1个国有单位，不涉及省级和国家级开发区。</w:t>
      </w:r>
    </w:p>
    <w:p>
      <w:pPr>
        <w:adjustRightInd w:val="0"/>
        <w:snapToGrid w:val="0"/>
        <w:spacing w:line="600" w:lineRule="exact"/>
        <w:ind w:firstLine="620" w:firstLineChars="200"/>
        <w:rPr>
          <w:rFonts w:hint="eastAsia" w:ascii="仿宋" w:hAnsi="仿宋" w:eastAsia="仿宋" w:cs="仿宋"/>
          <w:sz w:val="30"/>
          <w:szCs w:val="30"/>
        </w:rPr>
      </w:pPr>
      <w:r>
        <w:rPr>
          <w:rFonts w:ascii="Times New Roman" w:hAnsi="Times New Roman" w:eastAsia="仿宋_GB2312" w:cs="Times New Roman"/>
          <w:kern w:val="0"/>
          <w:sz w:val="31"/>
          <w:szCs w:val="31"/>
          <w:lang w:bidi="ar"/>
        </w:rPr>
        <w:t>本方案成片开发范围总面积</w:t>
      </w:r>
      <w:r>
        <w:rPr>
          <w:rFonts w:hint="eastAsia" w:ascii="仿宋" w:hAnsi="仿宋" w:eastAsia="仿宋" w:cs="仿宋"/>
          <w:sz w:val="30"/>
          <w:szCs w:val="30"/>
        </w:rPr>
        <w:t>23.6662</w:t>
      </w:r>
      <w:r>
        <w:rPr>
          <w:rFonts w:ascii="Times New Roman" w:hAnsi="Times New Roman" w:eastAsia="仿宋_GB2312" w:cs="Times New Roman"/>
          <w:kern w:val="0"/>
          <w:sz w:val="31"/>
          <w:szCs w:val="31"/>
          <w:lang w:bidi="ar"/>
        </w:rPr>
        <w:t>公顷，其中：</w:t>
      </w:r>
      <w:r>
        <w:rPr>
          <w:rFonts w:hint="eastAsia" w:ascii="仿宋" w:hAnsi="仿宋" w:eastAsia="仿宋" w:cs="仿宋"/>
          <w:sz w:val="30"/>
          <w:szCs w:val="30"/>
        </w:rPr>
        <w:t>农用地17.2744公顷（其中耕地4.3068公顷），建设用地6.3918公顷，不涉及未利用地。</w:t>
      </w:r>
    </w:p>
    <w:p>
      <w:pPr>
        <w:adjustRightInd w:val="0"/>
        <w:snapToGrid w:val="0"/>
        <w:spacing w:line="600" w:lineRule="exact"/>
        <w:ind w:firstLine="620" w:firstLineChars="200"/>
        <w:rPr>
          <w:rFonts w:ascii="Times New Roman" w:hAnsi="Times New Roman" w:eastAsia="黑体" w:cs="Times New Roman"/>
          <w:kern w:val="0"/>
          <w:sz w:val="31"/>
          <w:szCs w:val="31"/>
          <w:lang w:bidi="ar"/>
        </w:rPr>
      </w:pPr>
      <w:r>
        <w:rPr>
          <w:rFonts w:ascii="Times New Roman" w:hAnsi="Times New Roman" w:eastAsia="黑体" w:cs="Times New Roman"/>
          <w:kern w:val="0"/>
          <w:sz w:val="31"/>
          <w:szCs w:val="31"/>
          <w:lang w:bidi="ar"/>
        </w:rPr>
        <w:t>三、项目的必要性</w:t>
      </w:r>
    </w:p>
    <w:p>
      <w:pPr>
        <w:numPr>
          <w:ilvl w:val="0"/>
          <w:numId w:val="0"/>
        </w:numPr>
        <w:adjustRightInd w:val="0"/>
        <w:snapToGrid w:val="0"/>
        <w:spacing w:line="600" w:lineRule="exact"/>
        <w:ind w:firstLine="643" w:firstLineChars="200"/>
        <w:rPr>
          <w:rFonts w:hint="eastAsia" w:eastAsia="仿宋"/>
          <w:b/>
          <w:sz w:val="32"/>
          <w:szCs w:val="32"/>
          <w:lang w:eastAsia="zh-CN"/>
        </w:rPr>
      </w:pPr>
      <w:r>
        <w:rPr>
          <w:rFonts w:hint="eastAsia" w:eastAsia="仿宋"/>
          <w:b/>
          <w:sz w:val="32"/>
          <w:szCs w:val="32"/>
          <w:lang w:eastAsia="zh-CN"/>
        </w:rPr>
        <w:t>（一）</w:t>
      </w:r>
      <w:r>
        <w:rPr>
          <w:rFonts w:hint="eastAsia" w:eastAsia="仿宋"/>
          <w:b/>
          <w:sz w:val="32"/>
          <w:szCs w:val="32"/>
        </w:rPr>
        <w:t>建设</w:t>
      </w:r>
      <w:r>
        <w:rPr>
          <w:rFonts w:hint="eastAsia" w:eastAsia="仿宋"/>
          <w:b/>
          <w:sz w:val="32"/>
          <w:szCs w:val="32"/>
          <w:lang w:val="en-US" w:eastAsia="zh-CN"/>
        </w:rPr>
        <w:t>香文化</w:t>
      </w:r>
      <w:r>
        <w:rPr>
          <w:rFonts w:hint="eastAsia" w:eastAsia="仿宋"/>
          <w:b/>
          <w:sz w:val="32"/>
          <w:szCs w:val="32"/>
        </w:rPr>
        <w:t>小微产业园</w:t>
      </w:r>
      <w:r>
        <w:rPr>
          <w:rFonts w:hint="eastAsia" w:eastAsia="仿宋"/>
          <w:b/>
          <w:sz w:val="32"/>
          <w:szCs w:val="32"/>
          <w:lang w:eastAsia="zh-CN"/>
        </w:rPr>
        <w:t>，搭建企业发展优良平台</w:t>
      </w:r>
    </w:p>
    <w:p>
      <w:pPr>
        <w:adjustRightInd w:val="0"/>
        <w:snapToGrid w:val="0"/>
        <w:spacing w:line="600" w:lineRule="exact"/>
        <w:ind w:firstLine="640" w:firstLineChars="200"/>
        <w:rPr>
          <w:rFonts w:eastAsia="仿宋_GB2312"/>
          <w:sz w:val="32"/>
          <w:szCs w:val="32"/>
        </w:rPr>
      </w:pPr>
      <w:r>
        <w:rPr>
          <w:rFonts w:hint="eastAsia" w:eastAsia="仿宋_GB2312"/>
          <w:sz w:val="32"/>
          <w:szCs w:val="32"/>
        </w:rPr>
        <w:t>小微企业是科技创新最为活跃和最具潜力的群体，激发小型微型企业发展活力，对提高区域创新水平，支撑经济发展，深化国家创新体系建设具有十分重要的意义</w:t>
      </w:r>
      <w:r>
        <w:rPr>
          <w:rFonts w:eastAsia="仿宋_GB2312"/>
          <w:sz w:val="32"/>
          <w:szCs w:val="32"/>
        </w:rPr>
        <w:t>。</w:t>
      </w:r>
      <w:r>
        <w:rPr>
          <w:rFonts w:hint="eastAsia" w:eastAsia="仿宋_GB2312"/>
          <w:sz w:val="32"/>
          <w:szCs w:val="32"/>
        </w:rPr>
        <w:t>建设小微产业园是增强经济发展活力的重要抓手。</w:t>
      </w:r>
      <w:r>
        <w:rPr>
          <w:rFonts w:hint="eastAsia" w:eastAsia="仿宋_GB2312"/>
          <w:sz w:val="32"/>
          <w:szCs w:val="32"/>
          <w:lang w:val="en-US" w:eastAsia="zh-CN"/>
        </w:rPr>
        <w:t>仙游香文</w:t>
      </w:r>
      <w:r>
        <w:rPr>
          <w:rFonts w:hint="eastAsia" w:ascii="Times New Roman" w:hAnsi="Times New Roman" w:eastAsia="仿宋_GB2312" w:cs="Times New Roman"/>
          <w:sz w:val="32"/>
          <w:szCs w:val="32"/>
          <w:lang w:val="en-US" w:eastAsia="zh-CN"/>
        </w:rPr>
        <w:t>化渊源流长，仙游传统香制作技艺（枫髓香制作技艺）入选省级非遗代表性项目名</w:t>
      </w:r>
      <w:r>
        <w:rPr>
          <w:rFonts w:hint="eastAsia" w:ascii="Times New Roman" w:hAnsi="Times New Roman" w:eastAsia="仿宋_GB2312" w:cs="Times New Roman"/>
          <w:color w:val="auto"/>
          <w:sz w:val="32"/>
          <w:szCs w:val="32"/>
          <w:lang w:val="en-US" w:eastAsia="zh-CN"/>
        </w:rPr>
        <w:t>录</w:t>
      </w:r>
      <w:r>
        <w:rPr>
          <w:rFonts w:hint="eastAsia" w:ascii="宋体" w:hAnsi="宋体" w:eastAsia="仿宋_GB2312" w:cs="仿宋_GB2312"/>
          <w:b w:val="0"/>
          <w:i w:val="0"/>
          <w:caps w:val="0"/>
          <w:color w:val="auto"/>
          <w:spacing w:val="0"/>
          <w:w w:val="100"/>
          <w:sz w:val="32"/>
          <w:szCs w:val="32"/>
          <w:lang w:val="en-US" w:eastAsia="zh-CN"/>
        </w:rPr>
        <w:t>，我县现有从事香料交易、沉香、檀香等制品加工、销售等相关企业约500多家，从业人员约1.2万人，年产值约60亿元，其中包括龙头企业福建省香魁工艺有限公司、福建香舍香文化传播有限公司等。但是，大部分</w:t>
      </w:r>
      <w:r>
        <w:rPr>
          <w:rFonts w:hint="eastAsia" w:eastAsia="仿宋_GB2312"/>
          <w:sz w:val="32"/>
          <w:szCs w:val="32"/>
          <w:lang w:val="en-US" w:eastAsia="zh-CN"/>
        </w:rPr>
        <w:t>香文化</w:t>
      </w:r>
      <w:r>
        <w:rPr>
          <w:rFonts w:hint="eastAsia" w:eastAsia="仿宋_GB2312"/>
          <w:sz w:val="32"/>
          <w:szCs w:val="32"/>
        </w:rPr>
        <w:t>小微企业没有自己的厂房，以家庭作坊式</w:t>
      </w:r>
      <w:r>
        <w:rPr>
          <w:rFonts w:hint="eastAsia" w:eastAsia="仿宋_GB2312"/>
          <w:sz w:val="32"/>
          <w:szCs w:val="32"/>
          <w:lang w:eastAsia="zh-CN"/>
        </w:rPr>
        <w:t>生产经营</w:t>
      </w:r>
      <w:r>
        <w:rPr>
          <w:rFonts w:hint="eastAsia" w:eastAsia="仿宋_GB2312"/>
          <w:sz w:val="32"/>
          <w:szCs w:val="32"/>
        </w:rPr>
        <w:t>，往往乱搭乱建，形成“两违”且存在较大安全隐患，</w:t>
      </w:r>
      <w:r>
        <w:rPr>
          <w:rFonts w:hint="eastAsia" w:eastAsia="仿宋_GB2312"/>
          <w:color w:val="auto"/>
          <w:sz w:val="32"/>
          <w:szCs w:val="32"/>
          <w:lang w:eastAsia="zh-CN"/>
        </w:rPr>
        <w:t>且</w:t>
      </w:r>
      <w:r>
        <w:rPr>
          <w:rFonts w:hint="eastAsia" w:eastAsia="仿宋_GB2312"/>
          <w:color w:val="auto"/>
          <w:sz w:val="32"/>
          <w:szCs w:val="32"/>
        </w:rPr>
        <w:t>我县</w:t>
      </w:r>
      <w:r>
        <w:rPr>
          <w:rFonts w:hint="eastAsia" w:eastAsia="仿宋_GB2312"/>
          <w:color w:val="auto"/>
          <w:sz w:val="32"/>
          <w:szCs w:val="32"/>
          <w:lang w:val="en-US" w:eastAsia="zh-CN"/>
        </w:rPr>
        <w:t>香文化</w:t>
      </w:r>
      <w:r>
        <w:rPr>
          <w:rFonts w:hint="eastAsia" w:eastAsia="仿宋_GB2312"/>
          <w:color w:val="auto"/>
          <w:sz w:val="32"/>
          <w:szCs w:val="32"/>
        </w:rPr>
        <w:t>小微企业大多处于产业链与价值链的低端，面临产业层次低</w:t>
      </w:r>
      <w:r>
        <w:rPr>
          <w:rFonts w:hint="eastAsia" w:eastAsia="仿宋_GB2312"/>
          <w:sz w:val="32"/>
          <w:szCs w:val="32"/>
        </w:rPr>
        <w:t>、布局分散、市场竞争力弱等问题，让小微企业入园</w:t>
      </w:r>
      <w:r>
        <w:rPr>
          <w:rFonts w:hint="eastAsia" w:eastAsia="仿宋_GB2312"/>
          <w:sz w:val="32"/>
          <w:szCs w:val="32"/>
          <w:lang w:eastAsia="zh-CN"/>
        </w:rPr>
        <w:t>，推行专业化物业管理模式，引入所有权与经营权分离的园区工业物业管理模式，可</w:t>
      </w:r>
      <w:r>
        <w:rPr>
          <w:rFonts w:hint="eastAsia" w:ascii="Times New Roman" w:hAnsi="Times New Roman" w:eastAsia="仿宋_GB2312" w:cs="Times New Roman"/>
          <w:sz w:val="32"/>
          <w:szCs w:val="32"/>
          <w:lang w:eastAsia="zh-CN"/>
        </w:rPr>
        <w:t>形成了规模化、模块化、集中化的有完整产业链的小微企业集群，打造更贴近市场需求、更专业化的小微企业园区，</w:t>
      </w:r>
      <w:r>
        <w:rPr>
          <w:rFonts w:hint="eastAsia" w:eastAsia="仿宋_GB2312"/>
          <w:sz w:val="32"/>
          <w:szCs w:val="32"/>
        </w:rPr>
        <w:t>又能</w:t>
      </w:r>
      <w:r>
        <w:rPr>
          <w:rFonts w:hint="eastAsia" w:eastAsia="仿宋_GB2312"/>
          <w:sz w:val="32"/>
          <w:szCs w:val="32"/>
          <w:lang w:eastAsia="zh-CN"/>
        </w:rPr>
        <w:t>节约</w:t>
      </w:r>
      <w:r>
        <w:rPr>
          <w:rFonts w:hint="eastAsia" w:eastAsia="仿宋_GB2312"/>
          <w:sz w:val="32"/>
          <w:szCs w:val="32"/>
        </w:rPr>
        <w:t>集约利用土地</w:t>
      </w:r>
      <w:r>
        <w:rPr>
          <w:rFonts w:hint="eastAsia" w:eastAsia="仿宋_GB2312"/>
          <w:sz w:val="32"/>
          <w:szCs w:val="32"/>
          <w:lang w:eastAsia="zh-CN"/>
        </w:rPr>
        <w:t>，</w:t>
      </w:r>
      <w:r>
        <w:rPr>
          <w:rFonts w:hint="eastAsia" w:eastAsia="仿宋_GB2312"/>
          <w:sz w:val="32"/>
          <w:szCs w:val="32"/>
        </w:rPr>
        <w:t>提高亩均产出效率</w:t>
      </w:r>
      <w:r>
        <w:rPr>
          <w:rFonts w:hint="eastAsia" w:eastAsia="仿宋_GB2312"/>
          <w:sz w:val="32"/>
          <w:szCs w:val="32"/>
          <w:lang w:eastAsia="zh-CN"/>
        </w:rPr>
        <w:t>，</w:t>
      </w:r>
      <w:r>
        <w:rPr>
          <w:rFonts w:hint="eastAsia" w:eastAsia="仿宋_GB2312"/>
          <w:sz w:val="32"/>
          <w:szCs w:val="32"/>
          <w:lang w:val="en-US" w:eastAsia="zh-CN"/>
        </w:rPr>
        <w:t>经测算，可提升产能30%左右，降低成本20%左右。</w:t>
      </w:r>
      <w:r>
        <w:rPr>
          <w:rFonts w:hint="eastAsia" w:eastAsia="仿宋_GB2312"/>
          <w:sz w:val="32"/>
          <w:szCs w:val="32"/>
          <w:lang w:eastAsia="zh-CN"/>
        </w:rPr>
        <w:t>通过建设小微产业园，</w:t>
      </w:r>
      <w:r>
        <w:rPr>
          <w:rFonts w:hint="eastAsia" w:ascii="Times New Roman" w:hAnsi="Times New Roman" w:eastAsia="仿宋_GB2312" w:cs="Times New Roman"/>
          <w:sz w:val="32"/>
          <w:szCs w:val="32"/>
          <w:lang w:eastAsia="zh-CN"/>
        </w:rPr>
        <w:t>为全县香文化小微企业发展提供优良平台。</w:t>
      </w:r>
    </w:p>
    <w:p>
      <w:pPr>
        <w:adjustRightInd w:val="0"/>
        <w:snapToGrid w:val="0"/>
        <w:spacing w:line="600" w:lineRule="exact"/>
        <w:ind w:firstLine="643" w:firstLineChars="200"/>
        <w:rPr>
          <w:rFonts w:hint="eastAsia" w:eastAsia="仿宋"/>
          <w:b/>
          <w:sz w:val="32"/>
          <w:szCs w:val="32"/>
        </w:rPr>
      </w:pPr>
      <w:r>
        <w:rPr>
          <w:rFonts w:hint="eastAsia" w:eastAsia="仿宋"/>
          <w:b/>
          <w:sz w:val="32"/>
          <w:szCs w:val="32"/>
          <w:lang w:val="en-US" w:eastAsia="zh-CN"/>
        </w:rPr>
        <w:t>（二）</w:t>
      </w:r>
      <w:r>
        <w:rPr>
          <w:rFonts w:eastAsia="仿宋"/>
          <w:b/>
          <w:sz w:val="32"/>
          <w:szCs w:val="32"/>
        </w:rPr>
        <w:t>、</w:t>
      </w:r>
      <w:r>
        <w:rPr>
          <w:rFonts w:hint="eastAsia" w:eastAsia="仿宋"/>
          <w:b/>
          <w:sz w:val="32"/>
          <w:szCs w:val="32"/>
        </w:rPr>
        <w:t>拓宽“仙作”工艺品产业，</w:t>
      </w:r>
      <w:r>
        <w:rPr>
          <w:rFonts w:hint="eastAsia" w:eastAsia="仿宋"/>
          <w:b/>
          <w:sz w:val="32"/>
          <w:szCs w:val="32"/>
          <w:lang w:val="en-US" w:eastAsia="zh-CN"/>
        </w:rPr>
        <w:t>促进工艺美术的转型和创新性发展</w:t>
      </w:r>
    </w:p>
    <w:p>
      <w:pPr>
        <w:adjustRightInd w:val="0"/>
        <w:snapToGrid w:val="0"/>
        <w:spacing w:line="600" w:lineRule="exact"/>
        <w:ind w:firstLine="561"/>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莆田市加快实施“336”工程，工艺美术是其中3个千亿支柱产业之一，其中仙游县工艺美术产业的比重达到70%以上</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仙游县把工艺美术产业作为支柱产业来打造。作为工艺美术产业新引擎的香文化产业</w:t>
      </w:r>
      <w:r>
        <w:rPr>
          <w:rFonts w:hint="eastAsia" w:ascii="Times New Roman" w:hAnsi="Times New Roman" w:eastAsia="仿宋_GB2312" w:cs="Times New Roman"/>
          <w:sz w:val="32"/>
          <w:szCs w:val="32"/>
          <w:lang w:val="en-US" w:eastAsia="zh-CN"/>
        </w:rPr>
        <w:t>已</w:t>
      </w:r>
      <w:r>
        <w:rPr>
          <w:rFonts w:hint="eastAsia" w:ascii="Times New Roman" w:hAnsi="Times New Roman" w:eastAsia="仿宋_GB2312" w:cs="Times New Roman"/>
          <w:sz w:val="32"/>
          <w:szCs w:val="32"/>
        </w:rPr>
        <w:t>崛起成为仙游工艺美术产业的重要一环</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本次成片开发作为</w:t>
      </w:r>
      <w:r>
        <w:rPr>
          <w:rFonts w:hint="eastAsia" w:ascii="Times New Roman" w:hAnsi="Times New Roman" w:eastAsia="仿宋_GB2312" w:cs="Times New Roman"/>
          <w:sz w:val="32"/>
          <w:szCs w:val="32"/>
          <w:lang w:val="en-US" w:eastAsia="zh-CN"/>
        </w:rPr>
        <w:t>仙游县</w:t>
      </w:r>
      <w:r>
        <w:rPr>
          <w:rFonts w:hint="eastAsia" w:ascii="Times New Roman" w:hAnsi="Times New Roman" w:eastAsia="仿宋_GB2312" w:cs="Times New Roman"/>
          <w:sz w:val="32"/>
          <w:szCs w:val="32"/>
        </w:rPr>
        <w:t>香</w:t>
      </w:r>
      <w:r>
        <w:rPr>
          <w:rFonts w:hint="eastAsia" w:ascii="Times New Roman" w:hAnsi="Times New Roman" w:eastAsia="仿宋_GB2312" w:cs="Times New Roman"/>
          <w:sz w:val="32"/>
          <w:szCs w:val="32"/>
          <w:lang w:val="en-US" w:eastAsia="zh-CN"/>
        </w:rPr>
        <w:t>文化产业发展</w:t>
      </w:r>
      <w:r>
        <w:rPr>
          <w:rFonts w:hint="eastAsia" w:ascii="Times New Roman" w:hAnsi="Times New Roman" w:eastAsia="仿宋_GB2312" w:cs="Times New Roman"/>
          <w:sz w:val="32"/>
          <w:szCs w:val="32"/>
        </w:rPr>
        <w:t>的重要载体，由政府主导建设标准化香</w:t>
      </w:r>
      <w:r>
        <w:rPr>
          <w:rFonts w:hint="eastAsia" w:ascii="Times New Roman" w:hAnsi="Times New Roman" w:eastAsia="仿宋_GB2312" w:cs="Times New Roman"/>
          <w:sz w:val="32"/>
          <w:szCs w:val="32"/>
          <w:lang w:val="en-US" w:eastAsia="zh-CN"/>
        </w:rPr>
        <w:t>文化</w:t>
      </w:r>
      <w:r>
        <w:rPr>
          <w:rFonts w:hint="eastAsia" w:ascii="Times New Roman" w:hAnsi="Times New Roman" w:eastAsia="仿宋_GB2312" w:cs="Times New Roman"/>
          <w:sz w:val="32"/>
          <w:szCs w:val="32"/>
        </w:rPr>
        <w:t>产业园</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主要用于建设智能化车间，通过智能化、数控化提升制</w:t>
      </w:r>
      <w:r>
        <w:rPr>
          <w:rFonts w:hint="eastAsia" w:ascii="Times New Roman" w:hAnsi="Times New Roman" w:eastAsia="仿宋_GB2312" w:cs="Times New Roman"/>
          <w:sz w:val="32"/>
          <w:szCs w:val="32"/>
          <w:lang w:eastAsia="zh-CN"/>
        </w:rPr>
        <w:t>香</w:t>
      </w:r>
      <w:r>
        <w:rPr>
          <w:rFonts w:hint="eastAsia" w:ascii="Times New Roman" w:hAnsi="Times New Roman" w:eastAsia="仿宋_GB2312" w:cs="Times New Roman"/>
          <w:sz w:val="32"/>
          <w:szCs w:val="32"/>
        </w:rPr>
        <w:t>效率</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加快推进香文化产业链提升，着力打造集研发、展销、生产、体验和管理于一体的现代香文化产业集群，积极培育壮大天然香产业，</w:t>
      </w:r>
      <w:r>
        <w:rPr>
          <w:rFonts w:hint="eastAsia" w:ascii="Times New Roman" w:hAnsi="Times New Roman" w:eastAsia="仿宋_GB2312" w:cs="Times New Roman"/>
          <w:sz w:val="32"/>
          <w:szCs w:val="32"/>
        </w:rPr>
        <w:t>拓宽“仙作”工艺品产业，</w:t>
      </w:r>
      <w:r>
        <w:rPr>
          <w:rFonts w:ascii="Times New Roman" w:hAnsi="Times New Roman" w:eastAsia="仿宋_GB2312" w:cs="Times New Roman"/>
          <w:sz w:val="32"/>
          <w:szCs w:val="32"/>
          <w:lang w:val="en-US" w:eastAsia="zh-CN"/>
        </w:rPr>
        <w:t>促进工艺美术的转型和创新性发展</w:t>
      </w:r>
      <w:r>
        <w:rPr>
          <w:rFonts w:hint="eastAsia" w:ascii="Times New Roman" w:hAnsi="Times New Roman" w:eastAsia="仿宋_GB2312" w:cs="Times New Roman"/>
          <w:sz w:val="32"/>
          <w:szCs w:val="32"/>
          <w:lang w:val="en-US" w:eastAsia="zh-CN"/>
        </w:rPr>
        <w:t>。</w:t>
      </w:r>
    </w:p>
    <w:p>
      <w:pPr>
        <w:pStyle w:val="2"/>
        <w:spacing w:line="600" w:lineRule="exact"/>
        <w:ind w:left="420" w:leftChars="200" w:firstLine="0"/>
        <w:rPr>
          <w:rFonts w:hint="eastAsia" w:eastAsia="仿宋" w:asciiTheme="minorHAnsi" w:hAnsiTheme="minorHAnsi" w:cstheme="minorBidi"/>
          <w:b/>
          <w:kern w:val="2"/>
          <w:sz w:val="32"/>
          <w:szCs w:val="32"/>
          <w:lang w:val="en-US" w:eastAsia="zh-CN" w:bidi="ar-SA"/>
        </w:rPr>
      </w:pPr>
      <w:r>
        <w:rPr>
          <w:rFonts w:hint="eastAsia" w:eastAsia="仿宋"/>
          <w:b/>
          <w:sz w:val="32"/>
          <w:szCs w:val="32"/>
          <w:lang w:val="en-US" w:eastAsia="zh-CN"/>
        </w:rPr>
        <w:t>（三）</w:t>
      </w:r>
      <w:r>
        <w:rPr>
          <w:rFonts w:eastAsia="仿宋"/>
          <w:b/>
          <w:sz w:val="32"/>
          <w:szCs w:val="32"/>
        </w:rPr>
        <w:t>、</w:t>
      </w:r>
      <w:r>
        <w:rPr>
          <w:rFonts w:hint="eastAsia" w:eastAsia="仿宋" w:asciiTheme="minorHAnsi" w:hAnsiTheme="minorHAnsi" w:cstheme="minorBidi"/>
          <w:b/>
          <w:kern w:val="2"/>
          <w:sz w:val="32"/>
          <w:szCs w:val="32"/>
          <w:lang w:val="en-US" w:eastAsia="zh-CN" w:bidi="ar-SA"/>
        </w:rPr>
        <w:t>促进乡村振兴，培育专业人才</w:t>
      </w:r>
    </w:p>
    <w:p>
      <w:pPr>
        <w:pStyle w:val="2"/>
        <w:spacing w:line="600" w:lineRule="exact"/>
        <w:ind w:firstLine="600" w:firstLineChars="200"/>
        <w:rPr>
          <w:rFonts w:ascii="仿宋" w:hAnsi="仿宋" w:eastAsia="仿宋" w:cs="仿宋"/>
          <w:bCs/>
          <w:sz w:val="30"/>
          <w:szCs w:val="30"/>
        </w:rPr>
      </w:pPr>
      <w:r>
        <w:rPr>
          <w:rFonts w:hint="eastAsia" w:ascii="仿宋" w:hAnsi="仿宋" w:eastAsia="仿宋" w:cs="仿宋"/>
          <w:bCs/>
          <w:sz w:val="30"/>
          <w:szCs w:val="30"/>
        </w:rPr>
        <w:t>为积极贯彻国家“传统文化振兴”的重要战略，大力弘扬和传播中国香文化。榜头镇人民政府抓住传统产业发展新机遇，带领群众参与探索香文化产业种植、加工、销售的融合之路，通过种植沉香等方式助推仙游县香文化产业链发展，全力推动乡村振兴。本次建设榜头镇香文化小微产业园在发展香文化产业基础上，还将定期举行各类培训，开设众香识别、香品手作、香艺美学、香艺香仪等课程，让从业者和爱好者通过系统的学习，可以更好、更专业、更规范的了解中国传统香文化的专业知识，提升从业者的专业能力和鉴别能力，以此培育专业性人才。</w:t>
      </w:r>
    </w:p>
    <w:p>
      <w:pPr>
        <w:pStyle w:val="2"/>
      </w:pPr>
    </w:p>
    <w:p>
      <w:pPr>
        <w:widowControl/>
        <w:tabs>
          <w:tab w:val="left" w:pos="2730"/>
        </w:tabs>
        <w:jc w:val="left"/>
        <w:outlineLvl w:val="1"/>
        <w:rPr>
          <w:rFonts w:ascii="Times New Roman" w:hAnsi="Times New Roman" w:eastAsia="黑体" w:cs="Times New Roman"/>
          <w:kern w:val="0"/>
          <w:sz w:val="31"/>
          <w:szCs w:val="31"/>
          <w:lang w:bidi="ar"/>
        </w:rPr>
      </w:pPr>
      <w:r>
        <w:rPr>
          <w:rFonts w:ascii="Times New Roman" w:hAnsi="Times New Roman" w:eastAsia="黑体" w:cs="Times New Roman"/>
          <w:kern w:val="0"/>
          <w:sz w:val="31"/>
          <w:szCs w:val="31"/>
          <w:lang w:bidi="ar"/>
        </w:rPr>
        <w:t>四、规划土地用途及实现功能分析</w:t>
      </w:r>
    </w:p>
    <w:p>
      <w:pPr>
        <w:snapToGrid w:val="0"/>
        <w:spacing w:line="600" w:lineRule="exact"/>
        <w:ind w:firstLine="600" w:firstLineChars="200"/>
        <w:rPr>
          <w:rFonts w:hint="eastAsia" w:ascii="仿宋" w:hAnsi="仿宋" w:eastAsia="仿宋" w:cs="仿宋"/>
          <w:sz w:val="30"/>
          <w:szCs w:val="30"/>
        </w:rPr>
      </w:pPr>
      <w:r>
        <w:rPr>
          <w:rFonts w:hint="eastAsia" w:ascii="仿宋" w:hAnsi="仿宋" w:eastAsia="仿宋" w:cs="仿宋"/>
          <w:kern w:val="0"/>
          <w:sz w:val="30"/>
          <w:szCs w:val="30"/>
        </w:rPr>
        <w:t>本方案用地总面积23.6662公顷，主要用途为工业用地。工业用地面积10.8816公顷，占用地总面积的45.98%，主要用于建设香产业制造标准化厂房；商业服务业用地面积1.1228公顷，占用地面积的4.74%，实现香成品展示及售卖功能；城镇道路用地面积4.8633公顷，占用地总面积的20.55%，实现交通路网畅通的功能；防护绿地用地面积4.4547公顷，占用地总面积的18.82%，实现美化环境、净化空气的功能；公用设施用地面积1.5389公顷，</w:t>
      </w:r>
      <w:r>
        <w:rPr>
          <w:rFonts w:hint="eastAsia" w:ascii="仿宋" w:hAnsi="仿宋" w:eastAsia="仿宋" w:cs="仿宋"/>
          <w:sz w:val="30"/>
          <w:szCs w:val="30"/>
        </w:rPr>
        <w:t>占用地总面积的6.50%，</w:t>
      </w:r>
      <w:r>
        <w:rPr>
          <w:rFonts w:hint="eastAsia" w:ascii="仿宋" w:hAnsi="仿宋" w:eastAsia="仿宋" w:cs="仿宋"/>
          <w:kern w:val="0"/>
          <w:sz w:val="30"/>
          <w:szCs w:val="30"/>
        </w:rPr>
        <w:t>实现保护城市消防安全；广场用地0.5075公顷，占用地总面积的2.15%，用于群众及员工日常休闲活动；沟渠0.2974公顷，占用地总面积的1.26%，用于实现片区内排水功能</w:t>
      </w:r>
      <w:r>
        <w:rPr>
          <w:rFonts w:hint="eastAsia" w:ascii="仿宋" w:hAnsi="仿宋" w:eastAsia="仿宋" w:cs="仿宋"/>
          <w:sz w:val="30"/>
          <w:szCs w:val="30"/>
        </w:rPr>
        <w:t>。</w:t>
      </w:r>
    </w:p>
    <w:p>
      <w:pPr>
        <w:widowControl/>
        <w:tabs>
          <w:tab w:val="left" w:pos="2730"/>
        </w:tabs>
        <w:jc w:val="left"/>
        <w:outlineLvl w:val="1"/>
        <w:rPr>
          <w:rFonts w:ascii="Times New Roman" w:hAnsi="Times New Roman" w:eastAsia="黑体" w:cs="Times New Roman"/>
          <w:kern w:val="0"/>
          <w:sz w:val="31"/>
          <w:szCs w:val="31"/>
          <w:lang w:bidi="ar"/>
        </w:rPr>
      </w:pPr>
      <w:r>
        <w:rPr>
          <w:rFonts w:ascii="Times New Roman" w:hAnsi="Times New Roman" w:eastAsia="黑体" w:cs="Times New Roman"/>
          <w:kern w:val="0"/>
          <w:sz w:val="31"/>
          <w:szCs w:val="31"/>
          <w:lang w:bidi="ar"/>
        </w:rPr>
        <w:t>五、公益性用地情况</w:t>
      </w:r>
    </w:p>
    <w:p>
      <w:pPr>
        <w:snapToGrid w:val="0"/>
        <w:spacing w:line="600" w:lineRule="exact"/>
        <w:ind w:firstLine="600" w:firstLineChars="200"/>
        <w:rPr>
          <w:rFonts w:hint="eastAsia" w:ascii="仿宋" w:hAnsi="仿宋" w:eastAsia="仿宋" w:cs="仿宋"/>
          <w:sz w:val="30"/>
          <w:szCs w:val="30"/>
        </w:rPr>
      </w:pPr>
      <w:r>
        <w:rPr>
          <w:rFonts w:hint="eastAsia" w:ascii="仿宋" w:hAnsi="仿宋" w:eastAsia="仿宋" w:cs="仿宋"/>
          <w:kern w:val="0"/>
          <w:sz w:val="30"/>
          <w:szCs w:val="30"/>
        </w:rPr>
        <w:t>公益性用地包含城镇道路用地、公共设施用地、防护绿地、广场用地和沟渠，合</w:t>
      </w:r>
      <w:r>
        <w:rPr>
          <w:rFonts w:hint="eastAsia" w:ascii="仿宋" w:hAnsi="仿宋" w:eastAsia="仿宋" w:cs="仿宋"/>
          <w:sz w:val="30"/>
          <w:szCs w:val="30"/>
        </w:rPr>
        <w:t>计11.6618公顷，占用地总面积的49.28%，符合自然资规〔2020〕5号规定。</w:t>
      </w:r>
    </w:p>
    <w:p>
      <w:pPr>
        <w:widowControl/>
        <w:tabs>
          <w:tab w:val="left" w:pos="2730"/>
        </w:tabs>
        <w:jc w:val="left"/>
        <w:outlineLvl w:val="1"/>
        <w:rPr>
          <w:rFonts w:ascii="Times New Roman" w:hAnsi="Times New Roman" w:eastAsia="黑体" w:cs="Times New Roman"/>
          <w:kern w:val="0"/>
          <w:sz w:val="31"/>
          <w:szCs w:val="31"/>
          <w:lang w:bidi="ar"/>
        </w:rPr>
      </w:pPr>
      <w:bookmarkStart w:id="0" w:name="_GoBack"/>
      <w:bookmarkEnd w:id="0"/>
      <w:r>
        <w:rPr>
          <w:rFonts w:ascii="Times New Roman" w:hAnsi="Times New Roman" w:eastAsia="黑体" w:cs="Times New Roman"/>
          <w:kern w:val="0"/>
          <w:sz w:val="31"/>
          <w:szCs w:val="31"/>
          <w:lang w:bidi="ar"/>
        </w:rPr>
        <w:t>六、规划符合情况</w:t>
      </w:r>
    </w:p>
    <w:p>
      <w:pPr>
        <w:adjustRightInd w:val="0"/>
        <w:snapToGrid w:val="0"/>
        <w:spacing w:line="600" w:lineRule="exact"/>
        <w:ind w:firstLine="620" w:firstLineChars="200"/>
        <w:rPr>
          <w:rFonts w:ascii="Times New Roman" w:hAnsi="Times New Roman" w:eastAsia="仿宋_GB2312" w:cs="Times New Roman"/>
          <w:sz w:val="32"/>
          <w:szCs w:val="32"/>
        </w:rPr>
      </w:pPr>
      <w:r>
        <w:rPr>
          <w:rFonts w:ascii="Times New Roman" w:hAnsi="Times New Roman" w:eastAsia="仿宋_GB2312" w:cs="Times New Roman"/>
          <w:kern w:val="0"/>
          <w:sz w:val="31"/>
          <w:szCs w:val="31"/>
          <w:lang w:bidi="ar"/>
        </w:rPr>
        <w:t>本方案符合国民经济和社会发展规划的发展定位、要求，有利于完成规划目标、任务，已纳入国民经济和社会发展年度计划。</w:t>
      </w:r>
      <w:r>
        <w:rPr>
          <w:rFonts w:ascii="Times New Roman" w:hAnsi="Times New Roman" w:eastAsia="仿宋_GB2312" w:cs="Times New Roman"/>
          <w:sz w:val="32"/>
          <w:szCs w:val="32"/>
        </w:rPr>
        <w:t>本方案已纳入最新上报的城镇开发边界的集中建设区内，仙游县人民政府承诺，将土地征收成片开发范围纳入过渡期城镇开发边界及国土空间规划确定的城镇开发边界内的集中建设区，并符合规划管控要求。</w:t>
      </w:r>
    </w:p>
    <w:p>
      <w:pPr>
        <w:widowControl/>
        <w:tabs>
          <w:tab w:val="left" w:pos="2730"/>
        </w:tabs>
        <w:jc w:val="left"/>
        <w:outlineLvl w:val="1"/>
        <w:rPr>
          <w:rFonts w:ascii="Times New Roman" w:hAnsi="Times New Roman" w:eastAsia="黑体" w:cs="Times New Roman"/>
          <w:kern w:val="0"/>
          <w:sz w:val="31"/>
          <w:szCs w:val="31"/>
          <w:lang w:bidi="ar"/>
        </w:rPr>
      </w:pPr>
      <w:r>
        <w:rPr>
          <w:rFonts w:hint="eastAsia" w:ascii="Times New Roman" w:hAnsi="Times New Roman" w:eastAsia="黑体" w:cs="Times New Roman"/>
          <w:kern w:val="0"/>
          <w:sz w:val="31"/>
          <w:szCs w:val="31"/>
          <w:lang w:bidi="ar"/>
        </w:rPr>
        <w:t>七</w:t>
      </w:r>
      <w:r>
        <w:rPr>
          <w:rFonts w:ascii="Times New Roman" w:hAnsi="Times New Roman" w:eastAsia="黑体" w:cs="Times New Roman"/>
          <w:kern w:val="0"/>
          <w:sz w:val="31"/>
          <w:szCs w:val="31"/>
          <w:lang w:bidi="ar"/>
        </w:rPr>
        <w:t>、效益评估</w:t>
      </w:r>
    </w:p>
    <w:p>
      <w:pPr>
        <w:spacing w:line="600" w:lineRule="exact"/>
        <w:ind w:firstLine="620" w:firstLineChars="200"/>
        <w:rPr>
          <w:rFonts w:eastAsia="仿宋_GB2312"/>
          <w:sz w:val="32"/>
          <w:szCs w:val="32"/>
        </w:rPr>
      </w:pPr>
      <w:r>
        <w:rPr>
          <w:rFonts w:ascii="Times New Roman" w:hAnsi="Times New Roman" w:eastAsia="仿宋_GB2312" w:cs="Times New Roman"/>
          <w:kern w:val="0"/>
          <w:sz w:val="31"/>
          <w:szCs w:val="31"/>
          <w:lang w:bidi="ar"/>
        </w:rPr>
        <w:t>（一）土地利用效益：</w:t>
      </w:r>
      <w:r>
        <w:rPr>
          <w:rFonts w:ascii="Times New Roman" w:hAnsi="Times New Roman" w:eastAsia="仿宋_GB2312" w:cs="Times New Roman"/>
          <w:sz w:val="32"/>
          <w:szCs w:val="32"/>
        </w:rPr>
        <w:t>通过土地利用开发，</w:t>
      </w:r>
      <w:r>
        <w:rPr>
          <w:rFonts w:eastAsia="仿宋_GB2312"/>
          <w:sz w:val="32"/>
          <w:szCs w:val="32"/>
        </w:rPr>
        <w:t>可以有效整合区域内土地资源，促进土地资源要素的统筹利用，科学合理布局各类用地，有效推动土地集约、节约利用。</w:t>
      </w:r>
    </w:p>
    <w:p>
      <w:pPr>
        <w:adjustRightInd w:val="0"/>
        <w:snapToGrid w:val="0"/>
        <w:spacing w:line="600" w:lineRule="exact"/>
        <w:ind w:firstLine="570"/>
        <w:rPr>
          <w:rFonts w:eastAsia="仿宋_GB2312"/>
          <w:sz w:val="32"/>
          <w:szCs w:val="32"/>
        </w:rPr>
      </w:pPr>
      <w:r>
        <w:rPr>
          <w:rFonts w:ascii="Times New Roman" w:hAnsi="Times New Roman" w:eastAsia="仿宋_GB2312" w:cs="Times New Roman"/>
          <w:kern w:val="0"/>
          <w:sz w:val="31"/>
          <w:szCs w:val="31"/>
          <w:lang w:bidi="ar"/>
        </w:rPr>
        <w:t>（二）经济效益：</w:t>
      </w:r>
      <w:r>
        <w:rPr>
          <w:rFonts w:eastAsia="仿宋_GB2312"/>
          <w:sz w:val="32"/>
          <w:szCs w:val="32"/>
        </w:rPr>
        <w:t>本方案工业项目拟</w:t>
      </w:r>
      <w:r>
        <w:rPr>
          <w:rFonts w:hint="eastAsia" w:eastAsia="仿宋_GB2312"/>
          <w:sz w:val="32"/>
          <w:szCs w:val="32"/>
        </w:rPr>
        <w:t>采用政府投资建设</w:t>
      </w:r>
      <w:r>
        <w:rPr>
          <w:rFonts w:eastAsia="仿宋_GB2312"/>
          <w:sz w:val="32"/>
          <w:szCs w:val="32"/>
        </w:rPr>
        <w:t>，</w:t>
      </w:r>
      <w:r>
        <w:rPr>
          <w:rFonts w:hint="eastAsia" w:eastAsia="仿宋_GB2312"/>
          <w:sz w:val="32"/>
          <w:szCs w:val="32"/>
        </w:rPr>
        <w:t>园区专业运营机构独立或与国有企业合作开发模式，投资建设和运营管理小微产业园</w:t>
      </w:r>
      <w:r>
        <w:rPr>
          <w:rFonts w:hint="eastAsia" w:eastAsia="仿宋_GB2312"/>
          <w:sz w:val="32"/>
          <w:szCs w:val="32"/>
          <w:lang w:eastAsia="zh-CN"/>
        </w:rPr>
        <w:t>，</w:t>
      </w:r>
      <w:r>
        <w:rPr>
          <w:rFonts w:eastAsia="仿宋_GB2312"/>
          <w:sz w:val="32"/>
          <w:szCs w:val="32"/>
        </w:rPr>
        <w:t>带来新的税收增长点，增强</w:t>
      </w:r>
      <w:r>
        <w:rPr>
          <w:rFonts w:hint="eastAsia" w:eastAsia="仿宋_GB2312"/>
          <w:sz w:val="32"/>
          <w:szCs w:val="32"/>
        </w:rPr>
        <w:t>“仙作”</w:t>
      </w:r>
      <w:r>
        <w:rPr>
          <w:rFonts w:eastAsia="仿宋_GB2312"/>
          <w:sz w:val="32"/>
          <w:szCs w:val="32"/>
        </w:rPr>
        <w:t>市场竞争力，促进产业结构的调整和优化、提升产业的档次水平。实现更好的经济效益。</w:t>
      </w:r>
    </w:p>
    <w:p>
      <w:pPr>
        <w:snapToGrid w:val="0"/>
        <w:spacing w:line="600" w:lineRule="exact"/>
        <w:ind w:firstLine="310" w:firstLineChars="100"/>
        <w:rPr>
          <w:rFonts w:ascii="Times New Roman" w:hAnsi="Times New Roman" w:eastAsia="仿宋_GB2312" w:cs="Times New Roman"/>
          <w:kern w:val="0"/>
          <w:sz w:val="31"/>
          <w:szCs w:val="31"/>
          <w:lang w:bidi="ar"/>
        </w:rPr>
      </w:pPr>
      <w:r>
        <w:rPr>
          <w:rFonts w:ascii="Times New Roman" w:hAnsi="Times New Roman" w:eastAsia="仿宋_GB2312" w:cs="Times New Roman"/>
          <w:kern w:val="0"/>
          <w:sz w:val="31"/>
          <w:szCs w:val="31"/>
          <w:lang w:bidi="ar"/>
        </w:rPr>
        <w:t>（三）社会效益：本方案的实施</w:t>
      </w:r>
      <w:r>
        <w:rPr>
          <w:rFonts w:ascii="Times New Roman" w:hAnsi="Times New Roman" w:eastAsia="仿宋_GB2312" w:cs="Times New Roman"/>
          <w:sz w:val="32"/>
          <w:szCs w:val="32"/>
          <w:shd w:val="clear" w:color="auto" w:fill="FFFFFF"/>
        </w:rPr>
        <w:t>有利于完善基础设施；</w:t>
      </w:r>
      <w:r>
        <w:rPr>
          <w:rFonts w:hint="eastAsia" w:ascii="Times New Roman" w:hAnsi="Times New Roman" w:eastAsia="仿宋_GB2312" w:cs="Times New Roman"/>
          <w:kern w:val="0"/>
          <w:sz w:val="31"/>
          <w:szCs w:val="31"/>
          <w:lang w:bidi="ar"/>
        </w:rPr>
        <w:t>有利于</w:t>
      </w:r>
      <w:r>
        <w:rPr>
          <w:rFonts w:ascii="Times New Roman" w:hAnsi="Times New Roman" w:eastAsia="仿宋_GB2312" w:cs="Times New Roman"/>
          <w:sz w:val="32"/>
          <w:szCs w:val="32"/>
          <w:shd w:val="clear" w:color="auto" w:fill="FFFFFF"/>
        </w:rPr>
        <w:t>增加就业机会，提高居民人均收入。</w:t>
      </w:r>
    </w:p>
    <w:p>
      <w:pPr>
        <w:snapToGrid w:val="0"/>
        <w:spacing w:line="600" w:lineRule="exact"/>
        <w:ind w:firstLine="620" w:firstLineChars="200"/>
        <w:rPr>
          <w:rFonts w:ascii="Times New Roman" w:hAnsi="Times New Roman" w:eastAsia="仿宋_GB2312" w:cs="Times New Roman"/>
          <w:sz w:val="32"/>
          <w:szCs w:val="32"/>
        </w:rPr>
      </w:pPr>
      <w:r>
        <w:rPr>
          <w:rFonts w:ascii="Times New Roman" w:hAnsi="Times New Roman" w:eastAsia="仿宋_GB2312" w:cs="Times New Roman"/>
          <w:kern w:val="0"/>
          <w:sz w:val="31"/>
          <w:szCs w:val="31"/>
          <w:lang w:bidi="ar"/>
        </w:rPr>
        <w:t>（四）生态效益：本方案成片开发项目</w:t>
      </w:r>
      <w:r>
        <w:rPr>
          <w:rFonts w:eastAsia="仿宋_GB2312"/>
          <w:sz w:val="32"/>
          <w:szCs w:val="32"/>
        </w:rPr>
        <w:t>根据《工矿用地土壤环境管理办法（试行）》，加强工矿用地土壤和地下水环境保护监督管理，防治工矿用地土壤和地下水污染。</w:t>
      </w:r>
      <w:r>
        <w:rPr>
          <w:rFonts w:ascii="Times New Roman" w:hAnsi="Times New Roman" w:eastAsia="仿宋_GB2312" w:cs="Times New Roman"/>
          <w:sz w:val="32"/>
          <w:szCs w:val="32"/>
        </w:rPr>
        <w:t>在土地利用开发、规划等过程中，将严格按照相关法律法规落实水环境保护措施，确保满足周边及下游水环境质量与安全要求。</w:t>
      </w:r>
    </w:p>
    <w:p>
      <w:pPr>
        <w:overflowPunct w:val="0"/>
        <w:spacing w:line="600" w:lineRule="exact"/>
        <w:ind w:firstLine="620" w:firstLineChars="200"/>
        <w:jc w:val="left"/>
        <w:rPr>
          <w:rFonts w:ascii="Times New Roman" w:hAnsi="Times New Roman" w:eastAsia="黑体" w:cs="Times New Roman"/>
          <w:kern w:val="0"/>
          <w:sz w:val="31"/>
          <w:szCs w:val="31"/>
          <w:lang w:bidi="ar"/>
        </w:rPr>
      </w:pPr>
      <w:r>
        <w:rPr>
          <w:rFonts w:hint="eastAsia" w:ascii="Times New Roman" w:hAnsi="Times New Roman" w:eastAsia="黑体" w:cs="Times New Roman"/>
          <w:kern w:val="0"/>
          <w:sz w:val="31"/>
          <w:szCs w:val="31"/>
          <w:lang w:bidi="ar"/>
        </w:rPr>
        <w:t>八</w:t>
      </w:r>
      <w:r>
        <w:rPr>
          <w:rFonts w:ascii="Times New Roman" w:hAnsi="Times New Roman" w:eastAsia="黑体" w:cs="Times New Roman"/>
          <w:kern w:val="0"/>
          <w:sz w:val="31"/>
          <w:szCs w:val="31"/>
          <w:lang w:bidi="ar"/>
        </w:rPr>
        <w:t>、结论</w:t>
      </w:r>
    </w:p>
    <w:p>
      <w:pPr>
        <w:pStyle w:val="5"/>
        <w:spacing w:before="0" w:after="0" w:line="600" w:lineRule="exact"/>
        <w:ind w:firstLine="620" w:firstLineChars="200"/>
        <w:rPr>
          <w:rFonts w:ascii="Times New Roman" w:hAnsi="Times New Roman" w:eastAsia="仿宋_GB2312" w:cs="Times New Roman"/>
          <w:b w:val="0"/>
          <w:bCs w:val="0"/>
          <w:kern w:val="0"/>
          <w:sz w:val="31"/>
          <w:szCs w:val="31"/>
          <w:lang w:bidi="ar"/>
        </w:rPr>
      </w:pPr>
      <w:r>
        <w:rPr>
          <w:rFonts w:ascii="Times New Roman" w:hAnsi="Times New Roman" w:eastAsia="仿宋_GB2312" w:cs="Times New Roman"/>
          <w:b w:val="0"/>
          <w:bCs w:val="0"/>
          <w:kern w:val="0"/>
          <w:sz w:val="31"/>
          <w:szCs w:val="31"/>
          <w:lang w:bidi="ar"/>
        </w:rPr>
        <w:t>《仙游县2022年度第</w:t>
      </w:r>
      <w:r>
        <w:rPr>
          <w:rFonts w:hint="eastAsia" w:ascii="Times New Roman" w:hAnsi="Times New Roman" w:eastAsia="仿宋_GB2312" w:cs="Times New Roman"/>
          <w:b w:val="0"/>
          <w:bCs w:val="0"/>
          <w:kern w:val="0"/>
          <w:sz w:val="31"/>
          <w:szCs w:val="31"/>
          <w:lang w:bidi="ar"/>
        </w:rPr>
        <w:t>二十</w:t>
      </w:r>
      <w:r>
        <w:rPr>
          <w:rFonts w:ascii="Times New Roman" w:hAnsi="Times New Roman" w:eastAsia="仿宋_GB2312" w:cs="Times New Roman"/>
          <w:b w:val="0"/>
          <w:bCs w:val="0"/>
          <w:kern w:val="0"/>
          <w:sz w:val="31"/>
          <w:szCs w:val="31"/>
          <w:lang w:bidi="ar"/>
        </w:rPr>
        <w:t>批次土地征收成片开发方案（</w:t>
      </w:r>
      <w:r>
        <w:rPr>
          <w:rFonts w:hint="eastAsia" w:ascii="Times New Roman" w:hAnsi="Times New Roman" w:eastAsia="仿宋_GB2312" w:cs="Times New Roman"/>
          <w:b w:val="0"/>
          <w:bCs w:val="0"/>
          <w:kern w:val="0"/>
          <w:sz w:val="31"/>
          <w:szCs w:val="31"/>
          <w:lang w:eastAsia="zh-CN" w:bidi="ar"/>
        </w:rPr>
        <w:t>榜头</w:t>
      </w:r>
      <w:r>
        <w:rPr>
          <w:rFonts w:hint="eastAsia" w:ascii="Times New Roman" w:hAnsi="Times New Roman" w:eastAsia="仿宋_GB2312" w:cs="Times New Roman"/>
          <w:b w:val="0"/>
          <w:bCs w:val="0"/>
          <w:kern w:val="0"/>
          <w:sz w:val="31"/>
          <w:szCs w:val="31"/>
          <w:lang w:val="en-US" w:eastAsia="zh-CN" w:bidi="ar"/>
        </w:rPr>
        <w:t>香文化</w:t>
      </w:r>
      <w:r>
        <w:rPr>
          <w:rFonts w:hint="eastAsia" w:ascii="Times New Roman" w:hAnsi="Times New Roman" w:eastAsia="仿宋_GB2312" w:cs="Times New Roman"/>
          <w:b w:val="0"/>
          <w:bCs w:val="0"/>
          <w:kern w:val="0"/>
          <w:sz w:val="31"/>
          <w:szCs w:val="31"/>
          <w:lang w:eastAsia="zh-CN" w:bidi="ar"/>
        </w:rPr>
        <w:t>小微产业园</w:t>
      </w:r>
      <w:r>
        <w:rPr>
          <w:rFonts w:ascii="Times New Roman" w:hAnsi="Times New Roman" w:eastAsia="仿宋_GB2312" w:cs="Times New Roman"/>
          <w:b w:val="0"/>
          <w:bCs w:val="0"/>
          <w:kern w:val="0"/>
          <w:sz w:val="31"/>
          <w:szCs w:val="31"/>
          <w:lang w:bidi="ar"/>
        </w:rPr>
        <w:t>）》符合土地征收成片开发的标准。</w:t>
      </w:r>
    </w:p>
    <w:p>
      <w:pPr>
        <w:overflowPunct w:val="0"/>
        <w:spacing w:line="600" w:lineRule="exact"/>
        <w:ind w:firstLine="560" w:firstLineChars="200"/>
        <w:jc w:val="left"/>
        <w:rPr>
          <w:rFonts w:ascii="Times New Roman" w:hAnsi="Times New Roman" w:cs="Times New Roman"/>
          <w:sz w:val="28"/>
          <w:szCs w:val="28"/>
        </w:rPr>
      </w:pPr>
      <w:r>
        <w:rPr>
          <w:rFonts w:ascii="Times New Roman" w:hAnsi="Times New Roman" w:cs="Times New Roman"/>
          <w:sz w:val="28"/>
          <w:szCs w:val="28"/>
        </w:rPr>
        <w:br w:type="page"/>
      </w:r>
    </w:p>
    <w:p>
      <w:pPr>
        <w:rPr>
          <w:rFonts w:ascii="Times New Roman" w:hAnsi="Times New Roman" w:cs="Times New Roman"/>
          <w:sz w:val="28"/>
          <w:szCs w:val="28"/>
        </w:rPr>
        <w:sectPr>
          <w:pgSz w:w="11906" w:h="16838"/>
          <w:pgMar w:top="1440" w:right="1797" w:bottom="1440" w:left="1797" w:header="851" w:footer="992" w:gutter="0"/>
          <w:cols w:space="425" w:num="1"/>
          <w:docGrid w:type="lines" w:linePitch="312" w:charSpace="0"/>
        </w:sectPr>
      </w:pPr>
    </w:p>
    <w:p>
      <w:pPr>
        <w:pStyle w:val="6"/>
        <w:spacing w:line="415" w:lineRule="auto"/>
        <w:rPr>
          <w:rFonts w:ascii="Times New Roman" w:hAnsi="Times New Roman" w:eastAsia="仿宋_GB2312" w:cs="Times New Roman"/>
          <w:b w:val="0"/>
          <w:bCs w:val="0"/>
          <w:kern w:val="0"/>
          <w:sz w:val="28"/>
          <w:szCs w:val="28"/>
          <w:lang w:bidi="ar"/>
        </w:rPr>
      </w:pPr>
      <w:r>
        <w:rPr>
          <w:rFonts w:ascii="Times New Roman" w:hAnsi="Times New Roman" w:eastAsia="仿宋_GB2312" w:cs="Times New Roman"/>
          <w:b w:val="0"/>
          <w:bCs w:val="0"/>
          <w:kern w:val="0"/>
          <w:sz w:val="28"/>
          <w:szCs w:val="28"/>
          <w:lang w:bidi="ar"/>
        </w:rPr>
        <w:t>附图1：位置示意图</w:t>
      </w:r>
    </w:p>
    <w:p>
      <w:pPr>
        <w:jc w:val="center"/>
        <w:rPr>
          <w:rFonts w:ascii="Times New Roman" w:hAnsi="Times New Roman" w:eastAsia="仿宋_GB2312" w:cs="Times New Roman"/>
          <w:b/>
          <w:bCs/>
          <w:kern w:val="0"/>
          <w:sz w:val="28"/>
          <w:szCs w:val="28"/>
          <w:lang w:bidi="ar"/>
        </w:rPr>
      </w:pPr>
      <w:r>
        <w:rPr>
          <w:rFonts w:eastAsia="仿宋_GB2312"/>
          <w:b/>
          <w:color w:val="000000"/>
          <w:sz w:val="32"/>
          <w:szCs w:val="32"/>
          <w:lang w:bidi="ar"/>
        </w:rPr>
        <w:drawing>
          <wp:inline distT="0" distB="0" distL="114300" distR="114300">
            <wp:extent cx="6558915" cy="5357495"/>
            <wp:effectExtent l="0" t="0" r="14605" b="13335"/>
            <wp:docPr id="1" name="图片 1" descr="成片开发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成片开发位置示意图"/>
                    <pic:cNvPicPr>
                      <a:picLocks noChangeAspect="1"/>
                    </pic:cNvPicPr>
                  </pic:nvPicPr>
                  <pic:blipFill>
                    <a:blip r:embed="rId4"/>
                    <a:stretch>
                      <a:fillRect/>
                    </a:stretch>
                  </pic:blipFill>
                  <pic:spPr>
                    <a:xfrm rot="-5400000">
                      <a:off x="0" y="0"/>
                      <a:ext cx="6558915" cy="5357495"/>
                    </a:xfrm>
                    <a:prstGeom prst="rect">
                      <a:avLst/>
                    </a:prstGeom>
                    <a:noFill/>
                    <a:ln>
                      <a:noFill/>
                    </a:ln>
                  </pic:spPr>
                </pic:pic>
              </a:graphicData>
            </a:graphic>
          </wp:inline>
        </w:drawing>
      </w:r>
    </w:p>
    <w:sectPr>
      <w:pgSz w:w="11906" w:h="16838"/>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wOWFhY2NiZDk0ZWZhZWZkNzJlOGIwMjY4MTcyMjMifQ=="/>
  </w:docVars>
  <w:rsids>
    <w:rsidRoot w:val="009C2A55"/>
    <w:rsid w:val="000006D4"/>
    <w:rsid w:val="00004EBC"/>
    <w:rsid w:val="000052D5"/>
    <w:rsid w:val="00023701"/>
    <w:rsid w:val="00041CCE"/>
    <w:rsid w:val="0005467B"/>
    <w:rsid w:val="00060D4F"/>
    <w:rsid w:val="00077062"/>
    <w:rsid w:val="00077726"/>
    <w:rsid w:val="00093DD0"/>
    <w:rsid w:val="000969B3"/>
    <w:rsid w:val="000B3D7B"/>
    <w:rsid w:val="000B48FD"/>
    <w:rsid w:val="000B6C40"/>
    <w:rsid w:val="000D4EF6"/>
    <w:rsid w:val="000F02CA"/>
    <w:rsid w:val="00105092"/>
    <w:rsid w:val="0013207B"/>
    <w:rsid w:val="001419A4"/>
    <w:rsid w:val="00161B0D"/>
    <w:rsid w:val="00161FC2"/>
    <w:rsid w:val="00170EC6"/>
    <w:rsid w:val="00190AD9"/>
    <w:rsid w:val="001B0248"/>
    <w:rsid w:val="001B2602"/>
    <w:rsid w:val="001F00F4"/>
    <w:rsid w:val="0020783F"/>
    <w:rsid w:val="00212546"/>
    <w:rsid w:val="00244970"/>
    <w:rsid w:val="0024707F"/>
    <w:rsid w:val="00262566"/>
    <w:rsid w:val="00290531"/>
    <w:rsid w:val="002B00A2"/>
    <w:rsid w:val="002F75B2"/>
    <w:rsid w:val="00310F42"/>
    <w:rsid w:val="00312A11"/>
    <w:rsid w:val="003135AD"/>
    <w:rsid w:val="00314F42"/>
    <w:rsid w:val="00336077"/>
    <w:rsid w:val="00347784"/>
    <w:rsid w:val="00353FAA"/>
    <w:rsid w:val="0036787B"/>
    <w:rsid w:val="003748F3"/>
    <w:rsid w:val="0039266A"/>
    <w:rsid w:val="003D5B2E"/>
    <w:rsid w:val="003E761A"/>
    <w:rsid w:val="003F074B"/>
    <w:rsid w:val="00451BE2"/>
    <w:rsid w:val="00455CD3"/>
    <w:rsid w:val="00461CF3"/>
    <w:rsid w:val="004B49AE"/>
    <w:rsid w:val="004E5550"/>
    <w:rsid w:val="0050081E"/>
    <w:rsid w:val="00503947"/>
    <w:rsid w:val="00504642"/>
    <w:rsid w:val="00524741"/>
    <w:rsid w:val="00535701"/>
    <w:rsid w:val="005501A8"/>
    <w:rsid w:val="00554CF8"/>
    <w:rsid w:val="00555662"/>
    <w:rsid w:val="00555A23"/>
    <w:rsid w:val="0056332F"/>
    <w:rsid w:val="005650B4"/>
    <w:rsid w:val="00565D27"/>
    <w:rsid w:val="00590607"/>
    <w:rsid w:val="005C1199"/>
    <w:rsid w:val="005C2A0C"/>
    <w:rsid w:val="005E3CB7"/>
    <w:rsid w:val="006020C2"/>
    <w:rsid w:val="00605235"/>
    <w:rsid w:val="00605652"/>
    <w:rsid w:val="00607F8A"/>
    <w:rsid w:val="00621E0F"/>
    <w:rsid w:val="006225CE"/>
    <w:rsid w:val="00622DA3"/>
    <w:rsid w:val="00636B05"/>
    <w:rsid w:val="00657DED"/>
    <w:rsid w:val="00661C1C"/>
    <w:rsid w:val="00674F89"/>
    <w:rsid w:val="006A023C"/>
    <w:rsid w:val="006C380A"/>
    <w:rsid w:val="006D3327"/>
    <w:rsid w:val="006D5485"/>
    <w:rsid w:val="006E66D7"/>
    <w:rsid w:val="006F29DB"/>
    <w:rsid w:val="006F5DDB"/>
    <w:rsid w:val="00705170"/>
    <w:rsid w:val="007211B9"/>
    <w:rsid w:val="0075218A"/>
    <w:rsid w:val="007843BB"/>
    <w:rsid w:val="007876D1"/>
    <w:rsid w:val="0079179B"/>
    <w:rsid w:val="007C16D3"/>
    <w:rsid w:val="007D396F"/>
    <w:rsid w:val="007F4EAD"/>
    <w:rsid w:val="00820F82"/>
    <w:rsid w:val="00823E09"/>
    <w:rsid w:val="00834F22"/>
    <w:rsid w:val="00837764"/>
    <w:rsid w:val="0084271A"/>
    <w:rsid w:val="008637CE"/>
    <w:rsid w:val="008641E4"/>
    <w:rsid w:val="0086783F"/>
    <w:rsid w:val="00876841"/>
    <w:rsid w:val="0088296D"/>
    <w:rsid w:val="00883A68"/>
    <w:rsid w:val="00884B9D"/>
    <w:rsid w:val="0088551F"/>
    <w:rsid w:val="008A2E35"/>
    <w:rsid w:val="008F672B"/>
    <w:rsid w:val="00911A4A"/>
    <w:rsid w:val="0092657A"/>
    <w:rsid w:val="009354ED"/>
    <w:rsid w:val="009358C5"/>
    <w:rsid w:val="00975942"/>
    <w:rsid w:val="009A34F4"/>
    <w:rsid w:val="009C11C9"/>
    <w:rsid w:val="009C22F7"/>
    <w:rsid w:val="009C2A55"/>
    <w:rsid w:val="009C2B39"/>
    <w:rsid w:val="009F0041"/>
    <w:rsid w:val="009F7289"/>
    <w:rsid w:val="00A04188"/>
    <w:rsid w:val="00A216AC"/>
    <w:rsid w:val="00A4027A"/>
    <w:rsid w:val="00A40770"/>
    <w:rsid w:val="00A51F81"/>
    <w:rsid w:val="00A64C86"/>
    <w:rsid w:val="00A70A31"/>
    <w:rsid w:val="00A90E3F"/>
    <w:rsid w:val="00A96229"/>
    <w:rsid w:val="00AB4FA1"/>
    <w:rsid w:val="00AF5FDF"/>
    <w:rsid w:val="00AF6DF1"/>
    <w:rsid w:val="00B01908"/>
    <w:rsid w:val="00B21577"/>
    <w:rsid w:val="00B62981"/>
    <w:rsid w:val="00B639B5"/>
    <w:rsid w:val="00B75F03"/>
    <w:rsid w:val="00B7756F"/>
    <w:rsid w:val="00B90F07"/>
    <w:rsid w:val="00BB1789"/>
    <w:rsid w:val="00BB5C3C"/>
    <w:rsid w:val="00C04339"/>
    <w:rsid w:val="00C04F61"/>
    <w:rsid w:val="00C12683"/>
    <w:rsid w:val="00C2749E"/>
    <w:rsid w:val="00C333A6"/>
    <w:rsid w:val="00C352A2"/>
    <w:rsid w:val="00C41A56"/>
    <w:rsid w:val="00C54201"/>
    <w:rsid w:val="00C60CE6"/>
    <w:rsid w:val="00C64F5D"/>
    <w:rsid w:val="00C94A53"/>
    <w:rsid w:val="00CB66FC"/>
    <w:rsid w:val="00CB676F"/>
    <w:rsid w:val="00CE110A"/>
    <w:rsid w:val="00CF0FB7"/>
    <w:rsid w:val="00CF5995"/>
    <w:rsid w:val="00CF7F43"/>
    <w:rsid w:val="00D00AC4"/>
    <w:rsid w:val="00D15989"/>
    <w:rsid w:val="00D30562"/>
    <w:rsid w:val="00D60F24"/>
    <w:rsid w:val="00D631E7"/>
    <w:rsid w:val="00DA1D01"/>
    <w:rsid w:val="00DB4013"/>
    <w:rsid w:val="00DB5ADD"/>
    <w:rsid w:val="00DE06B5"/>
    <w:rsid w:val="00DF0D55"/>
    <w:rsid w:val="00DF5F9F"/>
    <w:rsid w:val="00E13F45"/>
    <w:rsid w:val="00E306AC"/>
    <w:rsid w:val="00E44717"/>
    <w:rsid w:val="00E46C1C"/>
    <w:rsid w:val="00E63632"/>
    <w:rsid w:val="00E71536"/>
    <w:rsid w:val="00E72414"/>
    <w:rsid w:val="00EA2F93"/>
    <w:rsid w:val="00EC4AA5"/>
    <w:rsid w:val="00ED5C8B"/>
    <w:rsid w:val="00EE551E"/>
    <w:rsid w:val="00EF1280"/>
    <w:rsid w:val="00F330B0"/>
    <w:rsid w:val="00F36889"/>
    <w:rsid w:val="00F45506"/>
    <w:rsid w:val="00F51544"/>
    <w:rsid w:val="00F60B08"/>
    <w:rsid w:val="00F62896"/>
    <w:rsid w:val="00F71389"/>
    <w:rsid w:val="00F86494"/>
    <w:rsid w:val="00FB59FA"/>
    <w:rsid w:val="00FC7D03"/>
    <w:rsid w:val="00FE5782"/>
    <w:rsid w:val="1CFA0A64"/>
    <w:rsid w:val="1F106CB2"/>
    <w:rsid w:val="29402575"/>
    <w:rsid w:val="36BA63DD"/>
    <w:rsid w:val="36C66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6">
    <w:name w:val="heading 3"/>
    <w:basedOn w:val="1"/>
    <w:next w:val="1"/>
    <w:link w:val="16"/>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ind w:firstLine="420"/>
    </w:pPr>
  </w:style>
  <w:style w:type="paragraph" w:styleId="3">
    <w:name w:val="Body Text Indent"/>
    <w:basedOn w:val="1"/>
    <w:next w:val="4"/>
    <w:qFormat/>
    <w:uiPriority w:val="0"/>
    <w:pPr>
      <w:ind w:firstLine="546"/>
    </w:pPr>
  </w:style>
  <w:style w:type="paragraph" w:styleId="4">
    <w:name w:val="Plain Text"/>
    <w:basedOn w:val="1"/>
    <w:qFormat/>
    <w:uiPriority w:val="0"/>
    <w:rPr>
      <w:rFonts w:ascii="宋体" w:hAnsi="Courier New" w:cs="Courier New"/>
      <w:sz w:val="21"/>
      <w:szCs w:val="21"/>
    </w:rPr>
  </w:style>
  <w:style w:type="paragraph" w:styleId="7">
    <w:name w:val="Balloon Text"/>
    <w:basedOn w:val="1"/>
    <w:link w:val="17"/>
    <w:semiHidden/>
    <w:unhideWhenUsed/>
    <w:qFormat/>
    <w:uiPriority w:val="99"/>
    <w:rPr>
      <w:sz w:val="18"/>
      <w:szCs w:val="18"/>
    </w:rPr>
  </w:style>
  <w:style w:type="paragraph" w:styleId="8">
    <w:name w:val="footer"/>
    <w:basedOn w:val="1"/>
    <w:link w:val="13"/>
    <w:unhideWhenUsed/>
    <w:qFormat/>
    <w:uiPriority w:val="99"/>
    <w:pPr>
      <w:tabs>
        <w:tab w:val="center" w:pos="4153"/>
        <w:tab w:val="right" w:pos="8306"/>
      </w:tabs>
      <w:snapToGrid w:val="0"/>
      <w:jc w:val="left"/>
    </w:pPr>
    <w:rPr>
      <w:sz w:val="18"/>
      <w:szCs w:val="18"/>
    </w:rPr>
  </w:style>
  <w:style w:type="paragraph" w:styleId="9">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2">
    <w:name w:val="页眉 Char"/>
    <w:basedOn w:val="11"/>
    <w:link w:val="9"/>
    <w:qFormat/>
    <w:uiPriority w:val="99"/>
    <w:rPr>
      <w:sz w:val="18"/>
      <w:szCs w:val="18"/>
    </w:rPr>
  </w:style>
  <w:style w:type="character" w:customStyle="1" w:styleId="13">
    <w:name w:val="页脚 Char"/>
    <w:basedOn w:val="11"/>
    <w:link w:val="8"/>
    <w:qFormat/>
    <w:uiPriority w:val="99"/>
    <w:rPr>
      <w:sz w:val="18"/>
      <w:szCs w:val="18"/>
    </w:rPr>
  </w:style>
  <w:style w:type="character" w:customStyle="1" w:styleId="14">
    <w:name w:val="标题 1 Char"/>
    <w:basedOn w:val="11"/>
    <w:link w:val="5"/>
    <w:qFormat/>
    <w:uiPriority w:val="9"/>
    <w:rPr>
      <w:b/>
      <w:bCs/>
      <w:kern w:val="44"/>
      <w:sz w:val="44"/>
      <w:szCs w:val="44"/>
    </w:rPr>
  </w:style>
  <w:style w:type="paragraph" w:styleId="15">
    <w:name w:val="List Paragraph"/>
    <w:basedOn w:val="1"/>
    <w:qFormat/>
    <w:uiPriority w:val="34"/>
    <w:pPr>
      <w:ind w:firstLine="420" w:firstLineChars="200"/>
    </w:pPr>
  </w:style>
  <w:style w:type="character" w:customStyle="1" w:styleId="16">
    <w:name w:val="标题 3 Char"/>
    <w:basedOn w:val="11"/>
    <w:link w:val="6"/>
    <w:qFormat/>
    <w:uiPriority w:val="9"/>
    <w:rPr>
      <w:b/>
      <w:bCs/>
      <w:sz w:val="32"/>
      <w:szCs w:val="32"/>
    </w:rPr>
  </w:style>
  <w:style w:type="character" w:customStyle="1" w:styleId="17">
    <w:name w:val="批注框文本 Char"/>
    <w:basedOn w:val="11"/>
    <w:link w:val="7"/>
    <w:semiHidden/>
    <w:qFormat/>
    <w:uiPriority w:val="99"/>
    <w:rPr>
      <w:sz w:val="18"/>
      <w:szCs w:val="18"/>
    </w:rPr>
  </w:style>
  <w:style w:type="character" w:customStyle="1" w:styleId="18">
    <w:name w:val="Body text|1_"/>
    <w:link w:val="19"/>
    <w:qFormat/>
    <w:uiPriority w:val="0"/>
    <w:rPr>
      <w:rFonts w:ascii="宋体" w:hAnsi="宋体" w:cs="宋体"/>
      <w:sz w:val="28"/>
      <w:szCs w:val="28"/>
      <w:lang w:val="zh-TW" w:eastAsia="zh-TW" w:bidi="zh-TW"/>
    </w:rPr>
  </w:style>
  <w:style w:type="paragraph" w:customStyle="1" w:styleId="19">
    <w:name w:val="Body text|1"/>
    <w:basedOn w:val="1"/>
    <w:link w:val="18"/>
    <w:qFormat/>
    <w:uiPriority w:val="0"/>
    <w:pPr>
      <w:spacing w:after="280"/>
      <w:jc w:val="left"/>
    </w:pPr>
    <w:rPr>
      <w:rFonts w:ascii="宋体" w:hAnsi="宋体" w:cs="宋体"/>
      <w:kern w:val="0"/>
      <w:sz w:val="28"/>
      <w:szCs w:val="28"/>
      <w:lang w:val="zh-TW" w:eastAsia="zh-TW" w:bidi="zh-TW"/>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6</Pages>
  <Words>1979</Words>
  <Characters>2086</Characters>
  <Lines>15</Lines>
  <Paragraphs>4</Paragraphs>
  <TotalTime>0</TotalTime>
  <ScaleCrop>false</ScaleCrop>
  <LinksUpToDate>false</LinksUpToDate>
  <CharactersWithSpaces>2087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2021-03-24T10:43:00Z</dcterms:created>
  <dc:creator>微软用户</dc:creator>
  <cp:lastModifiedBy>林晨</cp:lastModifiedBy>
  <cp:lastPrinted>2021-04-15T09:16:00Z</cp:lastPrinted>
  <dcterms:modified xsi:type="dcterms:W3CDTF">2022-12-05T01:50:32Z</dcterms:modified>
  <cp:revision>194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BCF4D38FCB8F4E8FA63ED4F3E12E9C50</vt:lpwstr>
  </property>
</Properties>
</file>