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widowControl w:val="0"/>
        <w:snapToGrid w:val="0"/>
        <w:spacing w:before="0" w:beforeAutospacing="0" w:after="0" w:afterLines="0" w:afterAutospacing="0" w:line="240" w:lineRule="auto"/>
        <w:ind w:left="0" w:leftChars="0" w:right="0" w:firstLine="0" w:firstLineChars="0"/>
        <w:jc w:val="both"/>
        <w:textAlignment w:val="baseline"/>
        <w:rPr>
          <w:rFonts w:hint="default" w:ascii="Times New Roman" w:hAnsi="Times New Roman" w:eastAsia="仿宋" w:cs="Times New Roman"/>
          <w:b w:val="0"/>
          <w:bCs w:val="0"/>
          <w:i w:val="0"/>
          <w:caps w:val="0"/>
          <w:color w:val="auto"/>
          <w:spacing w:val="0"/>
          <w:w w:val="100"/>
          <w:kern w:val="2"/>
          <w:sz w:val="48"/>
          <w:szCs w:val="48"/>
          <w:highlight w:val="none"/>
          <w:lang w:val="en-US" w:eastAsia="zh-CN" w:bidi="ar-SA"/>
        </w:rPr>
      </w:pPr>
      <w:r>
        <w:rPr>
          <w:rFonts w:hint="eastAsia" w:ascii="Times New Roman" w:hAnsi="Times New Roman" w:eastAsia="仿宋" w:cs="Times New Roman"/>
          <w:b w:val="0"/>
          <w:bCs w:val="0"/>
          <w:i w:val="0"/>
          <w:caps w:val="0"/>
          <w:color w:val="auto"/>
          <w:spacing w:val="0"/>
          <w:w w:val="100"/>
          <w:kern w:val="2"/>
          <w:sz w:val="48"/>
          <w:szCs w:val="48"/>
          <w:highlight w:val="none"/>
          <w:lang w:val="en-US" w:eastAsia="zh-CN" w:bidi="ar-SA"/>
        </w:rPr>
        <w:t xml:space="preserve"> </w:t>
      </w:r>
    </w:p>
    <w:p>
      <w:pPr>
        <w:keepLines w:val="0"/>
        <w:widowControl w:val="0"/>
        <w:snapToGrid w:val="0"/>
        <w:spacing w:before="0" w:beforeAutospacing="0" w:after="0" w:afterLines="0" w:afterAutospacing="0" w:line="560" w:lineRule="exact"/>
        <w:ind w:left="0" w:leftChars="0" w:right="0" w:firstLine="0" w:firstLineChars="0"/>
        <w:jc w:val="both"/>
        <w:textAlignment w:val="baseline"/>
        <w:rPr>
          <w:rFonts w:hint="default" w:ascii="Times New Roman" w:hAnsi="Times New Roman" w:eastAsia="仿宋" w:cs="Times New Roman"/>
          <w:b w:val="0"/>
          <w:bCs w:val="0"/>
          <w:i w:val="0"/>
          <w:caps w:val="0"/>
          <w:color w:val="auto"/>
          <w:spacing w:val="0"/>
          <w:w w:val="100"/>
          <w:kern w:val="2"/>
          <w:sz w:val="48"/>
          <w:szCs w:val="48"/>
          <w:highlight w:val="none"/>
          <w:lang w:val="en-US" w:eastAsia="zh-CN" w:bidi="ar-SA"/>
        </w:rPr>
      </w:pPr>
    </w:p>
    <w:p>
      <w:pPr>
        <w:keepLines w:val="0"/>
        <w:widowControl w:val="0"/>
        <w:snapToGrid w:val="0"/>
        <w:spacing w:before="0" w:beforeAutospacing="0" w:after="0" w:afterLines="0" w:afterAutospacing="0" w:line="560" w:lineRule="exact"/>
        <w:ind w:left="0" w:leftChars="0" w:right="0" w:firstLine="0" w:firstLineChars="0"/>
        <w:jc w:val="both"/>
        <w:textAlignment w:val="baseline"/>
        <w:rPr>
          <w:rFonts w:hint="default" w:ascii="Times New Roman" w:hAnsi="Times New Roman" w:eastAsia="仿宋" w:cs="Times New Roman"/>
          <w:b w:val="0"/>
          <w:bCs w:val="0"/>
          <w:i w:val="0"/>
          <w:caps w:val="0"/>
          <w:color w:val="auto"/>
          <w:spacing w:val="0"/>
          <w:w w:val="100"/>
          <w:kern w:val="2"/>
          <w:sz w:val="52"/>
          <w:szCs w:val="52"/>
          <w:highlight w:val="none"/>
          <w:lang w:val="en-US" w:eastAsia="zh-CN" w:bidi="ar-SA"/>
        </w:rPr>
      </w:pPr>
    </w:p>
    <w:p>
      <w:pPr>
        <w:keepNext/>
        <w:keepLines/>
        <w:pageBreakBefore w:val="0"/>
        <w:widowControl w:val="0"/>
        <w:kinsoku/>
        <w:wordWrap/>
        <w:overflowPunct/>
        <w:topLinePunct w:val="0"/>
        <w:autoSpaceDE/>
        <w:autoSpaceDN/>
        <w:bidi w:val="0"/>
        <w:adjustRightInd/>
        <w:snapToGrid/>
        <w:spacing w:before="0" w:after="0" w:line="240" w:lineRule="auto"/>
        <w:ind w:left="0" w:right="0"/>
        <w:jc w:val="center"/>
        <w:textAlignment w:val="auto"/>
        <w:outlineLvl w:val="9"/>
        <w:rPr>
          <w:rFonts w:hint="default" w:ascii="Times New Roman" w:hAnsi="Times New Roman" w:eastAsia="楷体" w:cs="Times New Roman"/>
          <w:b w:val="0"/>
          <w:bCs w:val="0"/>
          <w:color w:val="auto"/>
          <w:sz w:val="48"/>
          <w:szCs w:val="48"/>
          <w:highlight w:val="none"/>
          <w:lang w:val="en-US" w:eastAsia="zh-CN" w:bidi="ar-SA"/>
        </w:rPr>
      </w:pPr>
      <w:r>
        <w:rPr>
          <w:rFonts w:hint="default" w:ascii="Times New Roman" w:hAnsi="Times New Roman" w:eastAsia="楷体" w:cs="Times New Roman"/>
          <w:b w:val="0"/>
          <w:bCs w:val="0"/>
          <w:color w:val="auto"/>
          <w:sz w:val="48"/>
          <w:szCs w:val="48"/>
          <w:highlight w:val="none"/>
          <w:lang w:val="en-US" w:eastAsia="zh-CN" w:bidi="ar-SA"/>
        </w:rPr>
        <w:t>仙游县2022年度第二十三批次土地征收成片开发方案</w:t>
      </w:r>
    </w:p>
    <w:p>
      <w:pPr>
        <w:keepNext/>
        <w:keepLines/>
        <w:pageBreakBefore w:val="0"/>
        <w:widowControl w:val="0"/>
        <w:kinsoku/>
        <w:wordWrap/>
        <w:overflowPunct/>
        <w:topLinePunct w:val="0"/>
        <w:autoSpaceDE/>
        <w:autoSpaceDN/>
        <w:bidi w:val="0"/>
        <w:adjustRightInd/>
        <w:snapToGrid/>
        <w:spacing w:before="0" w:after="0" w:line="240" w:lineRule="auto"/>
        <w:ind w:left="0" w:right="0"/>
        <w:jc w:val="center"/>
        <w:textAlignment w:val="auto"/>
        <w:outlineLvl w:val="9"/>
        <w:rPr>
          <w:rFonts w:hint="default" w:ascii="Times New Roman" w:hAnsi="Times New Roman" w:eastAsia="楷体" w:cs="Times New Roman"/>
          <w:b w:val="0"/>
          <w:bCs w:val="0"/>
          <w:color w:val="auto"/>
          <w:sz w:val="48"/>
          <w:szCs w:val="48"/>
          <w:highlight w:val="none"/>
          <w:lang w:val="en-US" w:eastAsia="zh-CN" w:bidi="ar-SA"/>
        </w:rPr>
      </w:pPr>
      <w:r>
        <w:rPr>
          <w:rFonts w:hint="eastAsia" w:ascii="Times New Roman" w:hAnsi="Times New Roman" w:eastAsia="楷体" w:cs="Times New Roman"/>
          <w:b w:val="0"/>
          <w:bCs w:val="0"/>
          <w:color w:val="auto"/>
          <w:sz w:val="48"/>
          <w:szCs w:val="48"/>
          <w:highlight w:val="none"/>
          <w:lang w:val="en-US" w:eastAsia="zh-CN" w:bidi="ar-SA"/>
        </w:rPr>
        <w:t>（01方案沙溪片区地块）</w:t>
      </w:r>
    </w:p>
    <w:p>
      <w:pPr>
        <w:pStyle w:val="14"/>
        <w:snapToGrid w:val="0"/>
        <w:spacing w:before="0" w:beforeAutospacing="0" w:after="0" w:afterAutospacing="0" w:line="560" w:lineRule="exact"/>
        <w:ind w:left="0" w:leftChars="0" w:right="0" w:firstLine="0" w:firstLineChars="0"/>
        <w:jc w:val="left"/>
        <w:textAlignment w:val="baseline"/>
        <w:rPr>
          <w:rFonts w:hint="default" w:ascii="Times New Roman" w:hAnsi="Times New Roman" w:eastAsia="方正公文小标宋" w:cs="Times New Roman"/>
          <w:b w:val="0"/>
          <w:bCs w:val="0"/>
          <w:i w:val="0"/>
          <w:caps w:val="0"/>
          <w:color w:val="auto"/>
          <w:spacing w:val="0"/>
          <w:w w:val="100"/>
          <w:sz w:val="22"/>
          <w:highlight w:val="none"/>
          <w:lang w:val="en-US" w:eastAsia="zh-CN"/>
        </w:rPr>
      </w:pPr>
    </w:p>
    <w:p>
      <w:pPr>
        <w:rPr>
          <w:rFonts w:hint="default"/>
          <w:color w:val="auto"/>
          <w:highlight w:val="none"/>
          <w:lang w:val="en-US" w:eastAsia="zh-CN"/>
        </w:rPr>
      </w:pPr>
    </w:p>
    <w:p>
      <w:pPr>
        <w:keepLines w:val="0"/>
        <w:widowControl w:val="0"/>
        <w:snapToGrid w:val="0"/>
        <w:spacing w:before="0" w:beforeAutospacing="0" w:after="0" w:afterLines="0" w:afterAutospacing="0" w:line="560" w:lineRule="exact"/>
        <w:ind w:left="0" w:right="0" w:firstLine="0" w:firstLineChars="0"/>
        <w:jc w:val="center"/>
        <w:textAlignment w:val="baseline"/>
        <w:rPr>
          <w:rFonts w:hint="default" w:ascii="Times New Roman" w:hAnsi="Times New Roman" w:eastAsia="方正公文小标宋" w:cs="Times New Roman"/>
          <w:b w:val="0"/>
          <w:bCs w:val="0"/>
          <w:i w:val="0"/>
          <w:caps w:val="0"/>
          <w:color w:val="auto"/>
          <w:spacing w:val="0"/>
          <w:w w:val="100"/>
          <w:kern w:val="2"/>
          <w:sz w:val="44"/>
          <w:szCs w:val="52"/>
          <w:highlight w:val="none"/>
          <w:lang w:val="en-US" w:eastAsia="zh-CN" w:bidi="ar-SA"/>
        </w:rPr>
      </w:pPr>
    </w:p>
    <w:p>
      <w:pPr>
        <w:keepLines w:val="0"/>
        <w:widowControl w:val="0"/>
        <w:snapToGrid w:val="0"/>
        <w:spacing w:before="0" w:beforeAutospacing="0" w:after="0" w:afterLines="0" w:afterAutospacing="0" w:line="560" w:lineRule="exact"/>
        <w:ind w:left="0" w:right="0" w:firstLine="0" w:firstLineChars="0"/>
        <w:jc w:val="both"/>
        <w:textAlignment w:val="baseline"/>
        <w:rPr>
          <w:rFonts w:hint="default" w:ascii="Times New Roman" w:hAnsi="Times New Roman" w:eastAsia="方正公文小标宋" w:cs="Times New Roman"/>
          <w:b w:val="0"/>
          <w:bCs w:val="0"/>
          <w:i w:val="0"/>
          <w:caps w:val="0"/>
          <w:color w:val="auto"/>
          <w:spacing w:val="0"/>
          <w:w w:val="100"/>
          <w:kern w:val="2"/>
          <w:sz w:val="44"/>
          <w:szCs w:val="52"/>
          <w:highlight w:val="none"/>
          <w:lang w:val="en-US" w:eastAsia="zh-CN" w:bidi="ar-SA"/>
        </w:rPr>
      </w:pPr>
    </w:p>
    <w:p>
      <w:pPr>
        <w:keepLines w:val="0"/>
        <w:widowControl w:val="0"/>
        <w:snapToGrid w:val="0"/>
        <w:spacing w:before="0" w:beforeAutospacing="0" w:after="0" w:afterLines="0" w:afterAutospacing="0" w:line="560" w:lineRule="exact"/>
        <w:ind w:left="0" w:right="0" w:firstLine="0" w:firstLineChars="0"/>
        <w:jc w:val="center"/>
        <w:textAlignment w:val="baseline"/>
        <w:rPr>
          <w:rFonts w:hint="default" w:ascii="Times New Roman" w:hAnsi="Times New Roman" w:eastAsia="方正公文小标宋" w:cs="Times New Roman"/>
          <w:b w:val="0"/>
          <w:bCs w:val="0"/>
          <w:i w:val="0"/>
          <w:caps w:val="0"/>
          <w:color w:val="auto"/>
          <w:spacing w:val="0"/>
          <w:w w:val="100"/>
          <w:kern w:val="2"/>
          <w:sz w:val="44"/>
          <w:szCs w:val="52"/>
          <w:highlight w:val="none"/>
          <w:lang w:val="en-US" w:eastAsia="zh-CN" w:bidi="ar-SA"/>
        </w:rPr>
      </w:pPr>
    </w:p>
    <w:p>
      <w:pPr>
        <w:widowControl w:val="0"/>
        <w:snapToGrid w:val="0"/>
        <w:spacing w:before="0" w:beforeAutospacing="0" w:after="0" w:afterLines="0" w:afterAutospacing="0" w:line="560" w:lineRule="exact"/>
        <w:ind w:left="0" w:leftChars="0" w:right="0" w:firstLine="0" w:firstLineChars="0"/>
        <w:jc w:val="both"/>
        <w:textAlignment w:val="baseline"/>
        <w:rPr>
          <w:rFonts w:hint="default" w:ascii="Times New Roman" w:hAnsi="Times New Roman" w:eastAsia="方正公文小标宋" w:cs="Times New Roman"/>
          <w:b w:val="0"/>
          <w:bCs w:val="0"/>
          <w:i w:val="0"/>
          <w:caps w:val="0"/>
          <w:color w:val="auto"/>
          <w:spacing w:val="0"/>
          <w:w w:val="100"/>
          <w:kern w:val="2"/>
          <w:sz w:val="32"/>
          <w:szCs w:val="24"/>
          <w:highlight w:val="none"/>
          <w:lang w:val="en-US" w:eastAsia="zh-CN" w:bidi="ar-SA"/>
        </w:rPr>
      </w:pPr>
    </w:p>
    <w:p>
      <w:pPr>
        <w:keepLines w:val="0"/>
        <w:widowControl w:val="0"/>
        <w:snapToGrid w:val="0"/>
        <w:spacing w:before="0" w:beforeAutospacing="0" w:after="0" w:afterLines="0" w:afterAutospacing="0" w:line="560" w:lineRule="exact"/>
        <w:ind w:left="0" w:leftChars="0" w:right="0" w:firstLine="0" w:firstLineChars="0"/>
        <w:jc w:val="both"/>
        <w:textAlignment w:val="baseline"/>
        <w:rPr>
          <w:rFonts w:hint="default" w:ascii="Times New Roman" w:hAnsi="Times New Roman" w:eastAsia="方正公文小标宋" w:cs="Times New Roman"/>
          <w:b w:val="0"/>
          <w:bCs w:val="0"/>
          <w:i w:val="0"/>
          <w:caps w:val="0"/>
          <w:color w:val="auto"/>
          <w:spacing w:val="0"/>
          <w:w w:val="100"/>
          <w:kern w:val="2"/>
          <w:sz w:val="44"/>
          <w:szCs w:val="52"/>
          <w:highlight w:val="none"/>
          <w:lang w:val="en-US" w:eastAsia="zh-CN" w:bidi="ar-SA"/>
        </w:rPr>
      </w:pPr>
    </w:p>
    <w:p>
      <w:pPr>
        <w:pStyle w:val="6"/>
        <w:outlineLvl w:val="9"/>
        <w:rPr>
          <w:rFonts w:hint="default" w:ascii="Times New Roman" w:hAnsi="Times New Roman" w:eastAsia="方正公文小标宋" w:cs="Times New Roman"/>
          <w:b w:val="0"/>
          <w:bCs w:val="0"/>
          <w:i w:val="0"/>
          <w:caps w:val="0"/>
          <w:color w:val="auto"/>
          <w:spacing w:val="0"/>
          <w:w w:val="100"/>
          <w:kern w:val="2"/>
          <w:sz w:val="44"/>
          <w:szCs w:val="52"/>
          <w:highlight w:val="none"/>
          <w:lang w:val="en-US" w:eastAsia="zh-CN" w:bidi="ar-SA"/>
        </w:rPr>
      </w:pPr>
    </w:p>
    <w:p>
      <w:pPr>
        <w:rPr>
          <w:rFonts w:hint="default" w:ascii="Times New Roman" w:hAnsi="Times New Roman" w:cs="Times New Roman"/>
          <w:color w:val="auto"/>
          <w:highlight w:val="none"/>
          <w:lang w:val="en-US" w:eastAsia="zh-CN"/>
        </w:rPr>
      </w:pPr>
    </w:p>
    <w:p>
      <w:pPr>
        <w:keepLines w:val="0"/>
        <w:widowControl w:val="0"/>
        <w:snapToGrid w:val="0"/>
        <w:spacing w:before="0" w:beforeAutospacing="0" w:after="0" w:afterLines="0" w:afterAutospacing="0" w:line="560" w:lineRule="exact"/>
        <w:ind w:left="0" w:leftChars="0" w:right="0" w:firstLine="0" w:firstLineChars="0"/>
        <w:jc w:val="both"/>
        <w:textAlignment w:val="baseline"/>
        <w:rPr>
          <w:rFonts w:hint="default" w:ascii="Times New Roman" w:hAnsi="Times New Roman" w:eastAsia="方正公文小标宋" w:cs="Times New Roman"/>
          <w:b w:val="0"/>
          <w:bCs w:val="0"/>
          <w:i w:val="0"/>
          <w:caps w:val="0"/>
          <w:color w:val="auto"/>
          <w:spacing w:val="0"/>
          <w:w w:val="100"/>
          <w:kern w:val="2"/>
          <w:sz w:val="44"/>
          <w:szCs w:val="52"/>
          <w:highlight w:val="none"/>
          <w:lang w:val="en-US" w:eastAsia="zh-CN" w:bidi="ar-SA"/>
        </w:rPr>
      </w:pPr>
    </w:p>
    <w:p>
      <w:pPr>
        <w:keepLines w:val="0"/>
        <w:widowControl w:val="0"/>
        <w:snapToGrid w:val="0"/>
        <w:spacing w:before="0" w:beforeAutospacing="0" w:after="0" w:afterLines="0" w:afterAutospacing="0" w:line="560" w:lineRule="exact"/>
        <w:ind w:left="0" w:leftChars="0" w:right="0" w:firstLine="0" w:firstLineChars="0"/>
        <w:jc w:val="both"/>
        <w:textAlignment w:val="baseline"/>
        <w:rPr>
          <w:rFonts w:hint="default" w:ascii="Times New Roman" w:hAnsi="Times New Roman" w:eastAsia="方正公文小标宋" w:cs="Times New Roman"/>
          <w:b w:val="0"/>
          <w:bCs w:val="0"/>
          <w:i w:val="0"/>
          <w:caps w:val="0"/>
          <w:color w:val="auto"/>
          <w:spacing w:val="0"/>
          <w:w w:val="100"/>
          <w:kern w:val="2"/>
          <w:sz w:val="44"/>
          <w:szCs w:val="52"/>
          <w:highlight w:val="none"/>
          <w:lang w:val="en-US" w:eastAsia="zh-CN" w:bidi="ar-SA"/>
        </w:rPr>
      </w:pPr>
    </w:p>
    <w:p>
      <w:pPr>
        <w:keepLines w:val="0"/>
        <w:widowControl w:val="0"/>
        <w:snapToGrid w:val="0"/>
        <w:spacing w:before="0" w:beforeAutospacing="0" w:after="0" w:afterLines="0" w:afterAutospacing="0" w:line="560" w:lineRule="exact"/>
        <w:ind w:left="0" w:leftChars="0" w:right="0" w:firstLine="0" w:firstLineChars="0"/>
        <w:jc w:val="both"/>
        <w:textAlignment w:val="baseline"/>
        <w:rPr>
          <w:rFonts w:hint="default" w:ascii="Times New Roman" w:hAnsi="Times New Roman" w:eastAsia="方正公文小标宋" w:cs="Times New Roman"/>
          <w:b w:val="0"/>
          <w:bCs w:val="0"/>
          <w:i w:val="0"/>
          <w:caps w:val="0"/>
          <w:color w:val="auto"/>
          <w:spacing w:val="0"/>
          <w:w w:val="100"/>
          <w:kern w:val="2"/>
          <w:sz w:val="44"/>
          <w:szCs w:val="52"/>
          <w:highlight w:val="none"/>
          <w:lang w:val="en-US" w:eastAsia="zh-CN" w:bidi="ar-SA"/>
        </w:rPr>
      </w:pPr>
    </w:p>
    <w:p>
      <w:pPr>
        <w:keepNext/>
        <w:keepLines/>
        <w:pageBreakBefore w:val="0"/>
        <w:widowControl w:val="0"/>
        <w:kinsoku/>
        <w:wordWrap/>
        <w:overflowPunct/>
        <w:topLinePunct w:val="0"/>
        <w:autoSpaceDE/>
        <w:autoSpaceDN/>
        <w:bidi w:val="0"/>
        <w:adjustRightInd/>
        <w:snapToGrid/>
        <w:spacing w:before="0" w:after="0" w:line="240" w:lineRule="auto"/>
        <w:ind w:left="0" w:right="0"/>
        <w:jc w:val="center"/>
        <w:textAlignment w:val="auto"/>
        <w:outlineLvl w:val="9"/>
        <w:rPr>
          <w:rFonts w:hint="default" w:ascii="Times New Roman" w:hAnsi="Times New Roman" w:eastAsia="仿宋_GB2312" w:cs="Times New Roman"/>
          <w:b w:val="0"/>
          <w:bCs w:val="0"/>
          <w:color w:val="auto"/>
          <w:sz w:val="32"/>
          <w:szCs w:val="32"/>
          <w:highlight w:val="none"/>
          <w:lang w:val="en-US" w:eastAsia="zh-CN" w:bidi="ar-SA"/>
        </w:rPr>
      </w:pPr>
      <w:r>
        <w:rPr>
          <w:rFonts w:hint="default" w:ascii="Times New Roman" w:hAnsi="Times New Roman" w:eastAsia="仿宋_GB2312" w:cs="Times New Roman"/>
          <w:b w:val="0"/>
          <w:bCs w:val="0"/>
          <w:color w:val="auto"/>
          <w:sz w:val="32"/>
          <w:szCs w:val="32"/>
          <w:highlight w:val="none"/>
          <w:lang w:val="en-US" w:eastAsia="zh-CN" w:bidi="ar-SA"/>
        </w:rPr>
        <w:t>仙游县人民政府</w:t>
      </w:r>
    </w:p>
    <w:p>
      <w:pPr>
        <w:keepNext/>
        <w:keepLines/>
        <w:pageBreakBefore w:val="0"/>
        <w:widowControl w:val="0"/>
        <w:kinsoku/>
        <w:wordWrap/>
        <w:overflowPunct/>
        <w:topLinePunct w:val="0"/>
        <w:autoSpaceDE/>
        <w:autoSpaceDN/>
        <w:bidi w:val="0"/>
        <w:adjustRightInd/>
        <w:snapToGrid/>
        <w:spacing w:before="0" w:after="0" w:line="240" w:lineRule="auto"/>
        <w:ind w:left="0" w:right="0"/>
        <w:jc w:val="center"/>
        <w:textAlignment w:val="auto"/>
        <w:outlineLvl w:val="9"/>
        <w:rPr>
          <w:rFonts w:hint="default" w:ascii="Times New Roman" w:hAnsi="Times New Roman" w:eastAsia="仿宋_GB2312" w:cs="Times New Roman"/>
          <w:b w:val="0"/>
          <w:bCs w:val="0"/>
          <w:color w:val="auto"/>
          <w:sz w:val="32"/>
          <w:szCs w:val="32"/>
          <w:highlight w:val="none"/>
          <w:lang w:val="en-US" w:eastAsia="zh-CN" w:bidi="ar-SA"/>
        </w:rPr>
        <w:sectPr>
          <w:headerReference r:id="rId5" w:type="default"/>
          <w:type w:val="continuous"/>
          <w:pgSz w:w="11905" w:h="16838"/>
          <w:pgMar w:top="2098" w:right="1474" w:bottom="1984" w:left="1587" w:header="850" w:footer="992" w:gutter="0"/>
          <w:pgBorders>
            <w:top w:val="none" w:sz="0" w:space="0"/>
            <w:left w:val="none" w:sz="0" w:space="0"/>
            <w:bottom w:val="none" w:sz="0" w:space="0"/>
            <w:right w:val="none" w:sz="0" w:space="0"/>
          </w:pgBorders>
          <w:pgNumType w:fmt="decimal"/>
          <w:cols w:space="0" w:num="1"/>
          <w:rtlGutter w:val="0"/>
          <w:docGrid w:type="lines" w:linePitch="327" w:charSpace="0"/>
        </w:sectPr>
      </w:pPr>
      <w:r>
        <w:rPr>
          <w:rFonts w:hint="default" w:ascii="Times New Roman" w:hAnsi="Times New Roman" w:eastAsia="仿宋_GB2312" w:cs="Times New Roman"/>
          <w:b w:val="0"/>
          <w:bCs w:val="0"/>
          <w:color w:val="auto"/>
          <w:sz w:val="32"/>
          <w:szCs w:val="32"/>
          <w:highlight w:val="none"/>
          <w:lang w:val="en-US" w:eastAsia="zh-CN" w:bidi="ar-SA"/>
        </w:rPr>
        <w:t>二〇二二年</w:t>
      </w:r>
      <w:r>
        <w:rPr>
          <w:rFonts w:hint="eastAsia" w:ascii="Times New Roman" w:hAnsi="Times New Roman" w:eastAsia="仿宋_GB2312" w:cs="Times New Roman"/>
          <w:b w:val="0"/>
          <w:bCs w:val="0"/>
          <w:color w:val="auto"/>
          <w:sz w:val="32"/>
          <w:szCs w:val="32"/>
          <w:highlight w:val="none"/>
          <w:lang w:val="en-US" w:eastAsia="zh-CN" w:bidi="ar-SA"/>
        </w:rPr>
        <w:t>十二</w:t>
      </w:r>
      <w:r>
        <w:rPr>
          <w:rFonts w:hint="default" w:ascii="Times New Roman" w:hAnsi="Times New Roman" w:eastAsia="仿宋_GB2312" w:cs="Times New Roman"/>
          <w:b w:val="0"/>
          <w:bCs w:val="0"/>
          <w:color w:val="auto"/>
          <w:sz w:val="32"/>
          <w:szCs w:val="32"/>
          <w:highlight w:val="none"/>
          <w:lang w:val="en-US" w:eastAsia="zh-CN" w:bidi="ar-SA"/>
        </w:rPr>
        <w:t>月</w:t>
      </w:r>
    </w:p>
    <w:p>
      <w:pPr>
        <w:pStyle w:val="3"/>
        <w:keepNext/>
        <w:keepLines/>
        <w:pageBreakBefore w:val="0"/>
        <w:widowControl w:val="0"/>
        <w:numPr>
          <w:ilvl w:val="0"/>
          <w:numId w:val="1"/>
        </w:numPr>
        <w:kinsoku/>
        <w:wordWrap/>
        <w:overflowPunct/>
        <w:topLinePunct w:val="0"/>
        <w:autoSpaceDE/>
        <w:autoSpaceDN/>
        <w:bidi w:val="0"/>
        <w:adjustRightInd/>
        <w:snapToGrid/>
        <w:spacing w:before="157" w:beforeLines="50" w:after="157" w:afterLines="50" w:line="600" w:lineRule="exact"/>
        <w:ind w:left="0" w:leftChars="0" w:right="0" w:firstLine="420" w:firstLineChars="0"/>
        <w:jc w:val="left"/>
        <w:textAlignment w:val="auto"/>
        <w:rPr>
          <w:rFonts w:hint="default" w:ascii="Times New Roman" w:hAnsi="Times New Roman" w:eastAsia="黑体" w:cs="Times New Roman"/>
          <w:b w:val="0"/>
          <w:bCs w:val="0"/>
          <w:color w:val="auto"/>
          <w:kern w:val="44"/>
          <w:sz w:val="32"/>
          <w:szCs w:val="32"/>
          <w:highlight w:val="none"/>
          <w:lang w:val="en-US" w:bidi="ar-SA"/>
        </w:rPr>
      </w:pPr>
      <w:bookmarkStart w:id="0" w:name="_Toc19326"/>
      <w:r>
        <w:rPr>
          <w:rFonts w:hint="default" w:ascii="Times New Roman" w:hAnsi="Times New Roman" w:eastAsia="黑体" w:cs="Times New Roman"/>
          <w:b w:val="0"/>
          <w:bCs w:val="0"/>
          <w:color w:val="auto"/>
          <w:kern w:val="44"/>
          <w:sz w:val="32"/>
          <w:szCs w:val="32"/>
          <w:highlight w:val="none"/>
          <w:lang w:val="en-US" w:bidi="ar-SA"/>
        </w:rPr>
        <w:t>概述</w:t>
      </w:r>
      <w:bookmarkEnd w:id="0"/>
    </w:p>
    <w:p>
      <w:pPr>
        <w:pStyle w:val="24"/>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仙游县国民经济和社会发展第十四个五年规划和二〇三五年远景目标纲要》提出：以仙游经济开发区为载体，围绕“莆田南大门、仙游副中心”发展定位，打造产城融合新城。以产业规划为引领，聚力土地集约利用，挖潜增效盘活发展空间，优化“双园带动”“三区协同”的生产空间布局，加快形成特色鲜明、支撑力强的产业集群。以创建国家级开发区为目标，推动仙游经济开发区和仙港工业园区整合，聚焦电子信息首位产业和鞋服纺织、新型功能材料、高端装备等三大主攻产业。</w:t>
      </w:r>
    </w:p>
    <w:p>
      <w:pPr>
        <w:pStyle w:val="24"/>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为了加强企业创新水平，提升仙游县产业创新驱动，保障</w:t>
      </w:r>
      <w:r>
        <w:rPr>
          <w:rFonts w:hint="eastAsia" w:ascii="Times New Roman" w:eastAsia="仿宋_GB2312" w:cs="Times New Roman"/>
          <w:b w:val="0"/>
          <w:bCs w:val="0"/>
          <w:color w:val="auto"/>
          <w:kern w:val="0"/>
          <w:sz w:val="32"/>
          <w:szCs w:val="32"/>
          <w:highlight w:val="none"/>
          <w:lang w:val="en-US" w:eastAsia="zh-CN" w:bidi="ar-SA"/>
        </w:rPr>
        <w:t>市级</w:t>
      </w:r>
      <w:r>
        <w:rPr>
          <w:rFonts w:hint="default" w:ascii="Times New Roman" w:hAnsi="Times New Roman" w:eastAsia="仿宋_GB2312" w:cs="Times New Roman"/>
          <w:b w:val="0"/>
          <w:bCs w:val="0"/>
          <w:color w:val="auto"/>
          <w:kern w:val="0"/>
          <w:sz w:val="32"/>
          <w:szCs w:val="32"/>
          <w:highlight w:val="none"/>
          <w:lang w:val="en-US" w:eastAsia="zh-CN" w:bidi="ar-SA"/>
        </w:rPr>
        <w:t>重点项目顺利实施，保障仙游县经济和社会发展用地需要，仙游县人民政府根据《中华人民共和国土地管理法》第四十五条规定，衔接国民经济和社会发展规划、年度计划、</w:t>
      </w:r>
      <w:r>
        <w:rPr>
          <w:rFonts w:hint="eastAsia" w:ascii="Times New Roman" w:eastAsia="仿宋_GB2312" w:cs="Times New Roman"/>
          <w:b w:val="0"/>
          <w:bCs w:val="0"/>
          <w:color w:val="auto"/>
          <w:kern w:val="0"/>
          <w:sz w:val="32"/>
          <w:szCs w:val="32"/>
          <w:highlight w:val="none"/>
          <w:lang w:val="en-US" w:eastAsia="zh-CN" w:bidi="ar-SA"/>
        </w:rPr>
        <w:t>国土空间规划</w:t>
      </w:r>
      <w:r>
        <w:rPr>
          <w:rFonts w:hint="default" w:ascii="Times New Roman" w:hAnsi="Times New Roman" w:eastAsia="仿宋_GB2312" w:cs="Times New Roman"/>
          <w:b w:val="0"/>
          <w:bCs w:val="0"/>
          <w:color w:val="auto"/>
          <w:kern w:val="0"/>
          <w:sz w:val="32"/>
          <w:szCs w:val="32"/>
          <w:highlight w:val="none"/>
          <w:lang w:val="en-US" w:eastAsia="zh-CN" w:bidi="ar-SA"/>
        </w:rPr>
        <w:t>、城市总体规划、控制性详细规划，特编制本次成片开发方案。</w:t>
      </w:r>
    </w:p>
    <w:p>
      <w:pPr>
        <w:pStyle w:val="24"/>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p>
    <w:p>
      <w:pPr>
        <w:pStyle w:val="3"/>
        <w:keepNext/>
        <w:keepLines/>
        <w:pageBreakBefore w:val="0"/>
        <w:widowControl w:val="0"/>
        <w:numPr>
          <w:ilvl w:val="0"/>
          <w:numId w:val="1"/>
        </w:numPr>
        <w:kinsoku/>
        <w:wordWrap/>
        <w:overflowPunct/>
        <w:topLinePunct w:val="0"/>
        <w:autoSpaceDE/>
        <w:autoSpaceDN/>
        <w:bidi w:val="0"/>
        <w:adjustRightInd/>
        <w:snapToGrid/>
        <w:spacing w:before="157" w:beforeLines="50" w:after="157" w:afterLines="50" w:line="600" w:lineRule="exact"/>
        <w:ind w:left="0" w:leftChars="0" w:right="0" w:firstLine="420" w:firstLineChars="0"/>
        <w:jc w:val="left"/>
        <w:textAlignment w:val="auto"/>
        <w:rPr>
          <w:rFonts w:hint="default" w:ascii="Times New Roman" w:hAnsi="Times New Roman" w:eastAsia="黑体" w:cs="Times New Roman"/>
          <w:b w:val="0"/>
          <w:bCs w:val="0"/>
          <w:i w:val="0"/>
          <w:caps w:val="0"/>
          <w:color w:val="auto"/>
          <w:spacing w:val="0"/>
          <w:w w:val="100"/>
          <w:sz w:val="32"/>
          <w:highlight w:val="none"/>
        </w:rPr>
      </w:pPr>
      <w:bookmarkStart w:id="1" w:name="_Toc18064"/>
      <w:r>
        <w:rPr>
          <w:rFonts w:hint="default" w:ascii="Times New Roman" w:hAnsi="Times New Roman" w:eastAsia="黑体" w:cs="Times New Roman"/>
          <w:b w:val="0"/>
          <w:bCs w:val="0"/>
          <w:color w:val="auto"/>
          <w:kern w:val="44"/>
          <w:sz w:val="32"/>
          <w:szCs w:val="32"/>
          <w:highlight w:val="none"/>
          <w:lang w:val="en-US" w:bidi="ar-SA"/>
        </w:rPr>
        <w:t>编制条件</w:t>
      </w:r>
      <w:bookmarkEnd w:id="1"/>
    </w:p>
    <w:p>
      <w:pPr>
        <w:pStyle w:val="4"/>
        <w:keepNext/>
        <w:keepLines/>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3" w:firstLineChars="200"/>
        <w:jc w:val="both"/>
        <w:textAlignment w:val="auto"/>
        <w:rPr>
          <w:rFonts w:hint="default" w:ascii="Times New Roman" w:hAnsi="Times New Roman" w:eastAsia="楷体_GB2312" w:cs="Times New Roman"/>
          <w:b/>
          <w:bCs/>
          <w:i w:val="0"/>
          <w:caps w:val="0"/>
          <w:color w:val="auto"/>
          <w:spacing w:val="0"/>
          <w:w w:val="100"/>
          <w:sz w:val="32"/>
          <w:highlight w:val="none"/>
        </w:rPr>
      </w:pPr>
      <w:bookmarkStart w:id="2" w:name="_Toc8192"/>
      <w:r>
        <w:rPr>
          <w:rFonts w:hint="default" w:ascii="Times New Roman" w:hAnsi="Times New Roman" w:eastAsia="楷体_GB2312" w:cs="Times New Roman"/>
          <w:b/>
          <w:bCs/>
          <w:color w:val="auto"/>
          <w:kern w:val="2"/>
          <w:szCs w:val="32"/>
          <w:highlight w:val="none"/>
          <w:lang w:val="en-US" w:eastAsia="zh-CN" w:bidi="ar-SA"/>
        </w:rPr>
        <w:t>（一）批而未供土地和闲置土地情况</w:t>
      </w:r>
      <w:bookmarkEnd w:id="2"/>
    </w:p>
    <w:p>
      <w:pPr>
        <w:keepNext w:val="0"/>
        <w:keepLines w:val="0"/>
        <w:pageBreakBefore w:val="0"/>
        <w:widowControl/>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zh-CN" w:eastAsia="zh-CN" w:bidi="ar-SA"/>
        </w:rPr>
      </w:pPr>
      <w:r>
        <w:rPr>
          <w:rFonts w:hint="default" w:ascii="Times New Roman" w:hAnsi="Times New Roman" w:eastAsia="仿宋_GB2312" w:cs="Times New Roman"/>
          <w:b w:val="0"/>
          <w:bCs w:val="0"/>
          <w:color w:val="auto"/>
          <w:kern w:val="0"/>
          <w:sz w:val="32"/>
          <w:szCs w:val="32"/>
          <w:highlight w:val="none"/>
          <w:lang w:val="zh-CN" w:eastAsia="zh-CN" w:bidi="ar-SA"/>
        </w:rPr>
        <w:t>截至2022年</w:t>
      </w:r>
      <w:r>
        <w:rPr>
          <w:rFonts w:hint="eastAsia" w:ascii="Times New Roman" w:hAnsi="Times New Roman" w:eastAsia="仿宋_GB2312" w:cs="Times New Roman"/>
          <w:b w:val="0"/>
          <w:bCs w:val="0"/>
          <w:color w:val="auto"/>
          <w:kern w:val="0"/>
          <w:sz w:val="32"/>
          <w:szCs w:val="32"/>
          <w:highlight w:val="none"/>
          <w:lang w:val="en-US" w:eastAsia="zh-CN" w:bidi="ar-SA"/>
        </w:rPr>
        <w:t>10</w:t>
      </w:r>
      <w:r>
        <w:rPr>
          <w:rFonts w:hint="default" w:ascii="Times New Roman" w:hAnsi="Times New Roman" w:eastAsia="仿宋_GB2312" w:cs="Times New Roman"/>
          <w:b w:val="0"/>
          <w:bCs w:val="0"/>
          <w:color w:val="auto"/>
          <w:kern w:val="0"/>
          <w:sz w:val="32"/>
          <w:szCs w:val="32"/>
          <w:highlight w:val="none"/>
          <w:lang w:val="zh-CN" w:eastAsia="zh-CN" w:bidi="ar-SA"/>
        </w:rPr>
        <w:t>月底，仙游县批而未供土地面积</w:t>
      </w:r>
      <w:r>
        <w:rPr>
          <w:rFonts w:hint="eastAsia" w:ascii="Times New Roman" w:hAnsi="Times New Roman" w:eastAsia="仿宋_GB2312" w:cs="Times New Roman"/>
          <w:b w:val="0"/>
          <w:bCs w:val="0"/>
          <w:color w:val="auto"/>
          <w:kern w:val="0"/>
          <w:sz w:val="32"/>
          <w:szCs w:val="32"/>
          <w:highlight w:val="none"/>
          <w:lang w:val="en-US" w:eastAsia="zh-CN" w:bidi="ar-SA"/>
        </w:rPr>
        <w:t>360.067</w:t>
      </w:r>
      <w:r>
        <w:rPr>
          <w:rFonts w:hint="default" w:ascii="Times New Roman" w:hAnsi="Times New Roman" w:eastAsia="仿宋_GB2312" w:cs="Times New Roman"/>
          <w:b w:val="0"/>
          <w:bCs w:val="0"/>
          <w:color w:val="auto"/>
          <w:kern w:val="0"/>
          <w:sz w:val="32"/>
          <w:szCs w:val="32"/>
          <w:highlight w:val="none"/>
          <w:lang w:val="zh-CN" w:eastAsia="zh-CN" w:bidi="ar-SA"/>
        </w:rPr>
        <w:t>公顷＜500公顷。2020年和2021年，仙游县批而未供土地处置率分别为22.06%和20.80%，均已超过15%。</w:t>
      </w:r>
    </w:p>
    <w:p>
      <w:pPr>
        <w:keepNext w:val="0"/>
        <w:keepLines w:val="0"/>
        <w:pageBreakBefore w:val="0"/>
        <w:widowControl/>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zh-CN" w:eastAsia="zh-CN" w:bidi="ar-SA"/>
        </w:rPr>
      </w:pPr>
      <w:r>
        <w:rPr>
          <w:rFonts w:hint="default" w:ascii="Times New Roman" w:hAnsi="Times New Roman" w:eastAsia="仿宋_GB2312" w:cs="Times New Roman"/>
          <w:b w:val="0"/>
          <w:bCs w:val="0"/>
          <w:color w:val="auto"/>
          <w:kern w:val="0"/>
          <w:sz w:val="32"/>
          <w:szCs w:val="32"/>
          <w:highlight w:val="none"/>
          <w:lang w:val="zh-CN" w:eastAsia="zh-CN" w:bidi="ar-SA"/>
        </w:rPr>
        <w:t>截至2022年</w:t>
      </w:r>
      <w:r>
        <w:rPr>
          <w:rFonts w:hint="eastAsia" w:ascii="Times New Roman" w:hAnsi="Times New Roman" w:eastAsia="仿宋_GB2312" w:cs="Times New Roman"/>
          <w:b w:val="0"/>
          <w:bCs w:val="0"/>
          <w:color w:val="auto"/>
          <w:kern w:val="0"/>
          <w:sz w:val="32"/>
          <w:szCs w:val="32"/>
          <w:highlight w:val="none"/>
          <w:lang w:val="en-US" w:eastAsia="zh-CN" w:bidi="ar-SA"/>
        </w:rPr>
        <w:t>10</w:t>
      </w:r>
      <w:r>
        <w:rPr>
          <w:rFonts w:hint="default" w:ascii="Times New Roman" w:hAnsi="Times New Roman" w:eastAsia="仿宋_GB2312" w:cs="Times New Roman"/>
          <w:b w:val="0"/>
          <w:bCs w:val="0"/>
          <w:color w:val="auto"/>
          <w:kern w:val="0"/>
          <w:sz w:val="32"/>
          <w:szCs w:val="32"/>
          <w:highlight w:val="none"/>
          <w:lang w:val="zh-CN" w:eastAsia="zh-CN" w:bidi="ar-SA"/>
        </w:rPr>
        <w:t>月底，仙游县闲置土地面积</w:t>
      </w:r>
      <w:r>
        <w:rPr>
          <w:rFonts w:hint="eastAsia" w:ascii="Times New Roman" w:hAnsi="Times New Roman" w:eastAsia="仿宋_GB2312" w:cs="Times New Roman"/>
          <w:b w:val="0"/>
          <w:bCs w:val="0"/>
          <w:color w:val="auto"/>
          <w:kern w:val="0"/>
          <w:sz w:val="32"/>
          <w:szCs w:val="32"/>
          <w:highlight w:val="none"/>
          <w:lang w:val="en-US" w:eastAsia="zh-CN" w:bidi="ar-SA"/>
        </w:rPr>
        <w:t>79.7101</w:t>
      </w:r>
      <w:r>
        <w:rPr>
          <w:rFonts w:hint="default" w:ascii="Times New Roman" w:hAnsi="Times New Roman" w:eastAsia="仿宋_GB2312" w:cs="Times New Roman"/>
          <w:b w:val="0"/>
          <w:bCs w:val="0"/>
          <w:color w:val="auto"/>
          <w:kern w:val="0"/>
          <w:sz w:val="32"/>
          <w:szCs w:val="32"/>
          <w:highlight w:val="none"/>
          <w:lang w:val="zh-CN" w:eastAsia="zh-CN" w:bidi="ar-SA"/>
        </w:rPr>
        <w:t>公顷＞50公顷。2020年和2021年，仙游县闲置土地处置率分别为24.77%和34.62%，均已超过15%。符合《实施细则》的要求。</w:t>
      </w:r>
    </w:p>
    <w:p>
      <w:pPr>
        <w:pStyle w:val="4"/>
        <w:keepNext/>
        <w:keepLines/>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3" w:firstLineChars="200"/>
        <w:jc w:val="both"/>
        <w:textAlignment w:val="auto"/>
        <w:rPr>
          <w:rFonts w:hint="default" w:ascii="Times New Roman" w:hAnsi="Times New Roman" w:eastAsia="楷体_GB2312" w:cs="Times New Roman"/>
          <w:b/>
          <w:bCs/>
          <w:i w:val="0"/>
          <w:caps w:val="0"/>
          <w:color w:val="auto"/>
          <w:spacing w:val="0"/>
          <w:w w:val="100"/>
          <w:sz w:val="32"/>
          <w:highlight w:val="none"/>
        </w:rPr>
      </w:pPr>
      <w:bookmarkStart w:id="3" w:name="_Toc18486"/>
      <w:r>
        <w:rPr>
          <w:rFonts w:hint="default" w:ascii="Times New Roman" w:hAnsi="Times New Roman" w:eastAsia="楷体_GB2312" w:cs="Times New Roman"/>
          <w:b/>
          <w:bCs/>
          <w:i w:val="0"/>
          <w:caps w:val="0"/>
          <w:color w:val="auto"/>
          <w:spacing w:val="0"/>
          <w:w w:val="100"/>
          <w:sz w:val="32"/>
          <w:highlight w:val="none"/>
          <w:lang w:eastAsia="zh-CN"/>
        </w:rPr>
        <w:t>（</w:t>
      </w:r>
      <w:r>
        <w:rPr>
          <w:rFonts w:hint="default" w:ascii="Times New Roman" w:hAnsi="Times New Roman" w:eastAsia="楷体_GB2312" w:cs="Times New Roman"/>
          <w:b/>
          <w:bCs/>
          <w:i w:val="0"/>
          <w:caps w:val="0"/>
          <w:color w:val="auto"/>
          <w:spacing w:val="0"/>
          <w:w w:val="100"/>
          <w:sz w:val="32"/>
          <w:highlight w:val="none"/>
          <w:lang w:val="en-US" w:eastAsia="zh-CN"/>
        </w:rPr>
        <w:t>二</w:t>
      </w:r>
      <w:r>
        <w:rPr>
          <w:rFonts w:hint="default" w:ascii="Times New Roman" w:hAnsi="Times New Roman" w:eastAsia="楷体_GB2312" w:cs="Times New Roman"/>
          <w:b/>
          <w:bCs/>
          <w:i w:val="0"/>
          <w:caps w:val="0"/>
          <w:color w:val="auto"/>
          <w:spacing w:val="0"/>
          <w:w w:val="100"/>
          <w:sz w:val="32"/>
          <w:highlight w:val="none"/>
          <w:lang w:eastAsia="zh-CN"/>
        </w:rPr>
        <w:t>）</w:t>
      </w:r>
      <w:r>
        <w:rPr>
          <w:rFonts w:hint="default" w:ascii="Times New Roman" w:hAnsi="Times New Roman" w:eastAsia="楷体_GB2312" w:cs="Times New Roman"/>
          <w:b/>
          <w:bCs/>
          <w:i w:val="0"/>
          <w:caps w:val="0"/>
          <w:color w:val="auto"/>
          <w:spacing w:val="0"/>
          <w:w w:val="100"/>
          <w:sz w:val="32"/>
          <w:highlight w:val="none"/>
        </w:rPr>
        <w:t>开发区土地利用效率情况</w:t>
      </w:r>
      <w:bookmarkEnd w:id="3"/>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zh-CN" w:eastAsia="zh-CN" w:bidi="ar-SA"/>
        </w:rPr>
      </w:pPr>
      <w:r>
        <w:rPr>
          <w:rFonts w:hint="default" w:ascii="Times New Roman" w:hAnsi="Times New Roman" w:eastAsia="仿宋_GB2312" w:cs="Times New Roman"/>
          <w:b w:val="0"/>
          <w:bCs w:val="0"/>
          <w:color w:val="auto"/>
          <w:kern w:val="2"/>
          <w:sz w:val="32"/>
          <w:szCs w:val="32"/>
          <w:highlight w:val="none"/>
          <w:lang w:val="zh-CN" w:eastAsia="zh-CN" w:bidi="ar-SA"/>
        </w:rPr>
        <w:t>仙游县省级以上开发区福建仙游经济开发区在全省2018年度到2020年度开发区土地集约利用评价排名分别位列第25名，第9名，第42名，未处于后三名。本批次成片开发方案不</w:t>
      </w:r>
    </w:p>
    <w:p>
      <w:pPr>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zh-CN" w:eastAsia="zh-CN" w:bidi="ar-SA"/>
        </w:rPr>
        <w:t>在省级以上开发区范围内。</w:t>
      </w:r>
    </w:p>
    <w:p>
      <w:pPr>
        <w:pStyle w:val="4"/>
        <w:keepNext/>
        <w:keepLines/>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3" w:firstLineChars="200"/>
        <w:jc w:val="both"/>
        <w:textAlignment w:val="auto"/>
        <w:rPr>
          <w:rFonts w:hint="default" w:ascii="Times New Roman" w:hAnsi="Times New Roman" w:eastAsia="楷体_GB2312" w:cs="Times New Roman"/>
          <w:b/>
          <w:bCs/>
          <w:i w:val="0"/>
          <w:caps w:val="0"/>
          <w:color w:val="auto"/>
          <w:spacing w:val="0"/>
          <w:w w:val="100"/>
          <w:sz w:val="32"/>
          <w:highlight w:val="none"/>
        </w:rPr>
      </w:pPr>
      <w:bookmarkStart w:id="4" w:name="_Toc16703"/>
      <w:bookmarkStart w:id="5" w:name="_Toc2869"/>
      <w:r>
        <w:rPr>
          <w:rFonts w:hint="default" w:ascii="Times New Roman" w:hAnsi="Times New Roman" w:eastAsia="楷体_GB2312" w:cs="Times New Roman"/>
          <w:b/>
          <w:bCs/>
          <w:color w:val="auto"/>
          <w:highlight w:val="none"/>
          <w:lang w:val="en-US" w:eastAsia="zh-CN"/>
        </w:rPr>
        <w:t>（三）已批准土地征收成片开发方案实施情况</w:t>
      </w:r>
      <w:bookmarkEnd w:id="4"/>
      <w:bookmarkEnd w:id="5"/>
    </w:p>
    <w:p>
      <w:pPr>
        <w:keepNext w:val="0"/>
        <w:keepLines w:val="0"/>
        <w:pageBreakBefore w:val="0"/>
        <w:widowControl w:val="0"/>
        <w:kinsoku/>
        <w:wordWrap/>
        <w:overflowPunct/>
        <w:topLinePunct w:val="0"/>
        <w:autoSpaceDE w:val="0"/>
        <w:autoSpaceDN w:val="0"/>
        <w:bidi w:val="0"/>
        <w:adjustRightInd/>
        <w:snapToGrid w:val="0"/>
        <w:spacing w:before="0" w:beforeAutospacing="0" w:after="0" w:afterLines="0" w:afterAutospacing="0" w:line="560" w:lineRule="exact"/>
        <w:ind w:left="0" w:right="0" w:firstLine="640" w:firstLineChars="200"/>
        <w:jc w:val="both"/>
        <w:textAlignment w:val="baseline"/>
        <w:rPr>
          <w:rFonts w:hint="default" w:ascii="Times New Roman" w:hAnsi="Times New Roman" w:cs="Times New Roman"/>
          <w:b w:val="0"/>
          <w:bCs w:val="0"/>
          <w:i w:val="0"/>
          <w:caps w:val="0"/>
          <w:color w:val="auto"/>
          <w:spacing w:val="0"/>
          <w:w w:val="100"/>
          <w:sz w:val="20"/>
          <w:highlight w:val="none"/>
        </w:rPr>
        <w:sectPr>
          <w:headerReference r:id="rId6" w:type="default"/>
          <w:footerReference r:id="rId7" w:type="default"/>
          <w:pgSz w:w="11905" w:h="16838"/>
          <w:pgMar w:top="2098" w:right="1474" w:bottom="1984" w:left="1587" w:header="850" w:footer="992" w:gutter="0"/>
          <w:pgBorders>
            <w:top w:val="none" w:sz="0" w:space="0"/>
            <w:left w:val="none" w:sz="0" w:space="0"/>
            <w:bottom w:val="none" w:sz="0" w:space="0"/>
            <w:right w:val="none" w:sz="0" w:space="0"/>
          </w:pgBorders>
          <w:pgNumType w:fmt="decimal" w:start="1"/>
          <w:cols w:space="0" w:num="1"/>
          <w:rtlGutter w:val="0"/>
          <w:docGrid w:type="lines" w:linePitch="327" w:charSpace="0"/>
        </w:sectPr>
      </w:pPr>
      <w:r>
        <w:rPr>
          <w:rFonts w:hint="default" w:ascii="Times New Roman" w:hAnsi="Times New Roman" w:eastAsia="仿宋_GB2312" w:cs="Times New Roman"/>
          <w:b w:val="0"/>
          <w:bCs w:val="0"/>
          <w:i w:val="0"/>
          <w:caps w:val="0"/>
          <w:color w:val="auto"/>
          <w:spacing w:val="0"/>
          <w:w w:val="100"/>
          <w:kern w:val="2"/>
          <w:sz w:val="32"/>
          <w:szCs w:val="32"/>
          <w:highlight w:val="none"/>
          <w:lang w:val="zh-CN" w:eastAsia="zh-CN" w:bidi="ar-SA"/>
        </w:rPr>
        <w:t>2021年仙游县已获省政府批准的土地征收成片开发方案2个批次（共5个方案），其中仙游县2021年度第一批次土地征收成片开发方案于2021年7月1日获批，仙游县2021年度第二批次土地征收成片开发方案于2021年9月11日获批；按年度计划应实施101.5030公顷，截至目前，已实施77.3344公顷。不存在已批准实施的土地征收成片开发方案连续两年未按方案实施的情形，符合自然资规〔2020〕5号文的规定。</w:t>
      </w:r>
    </w:p>
    <w:p>
      <w:pPr>
        <w:pStyle w:val="3"/>
        <w:keepNext/>
        <w:keepLines/>
        <w:pageBreakBefore w:val="0"/>
        <w:widowControl w:val="0"/>
        <w:numPr>
          <w:ilvl w:val="0"/>
          <w:numId w:val="1"/>
        </w:numPr>
        <w:kinsoku/>
        <w:wordWrap/>
        <w:overflowPunct/>
        <w:topLinePunct w:val="0"/>
        <w:autoSpaceDE/>
        <w:autoSpaceDN/>
        <w:bidi w:val="0"/>
        <w:adjustRightInd/>
        <w:snapToGrid/>
        <w:spacing w:before="157" w:beforeLines="50" w:after="157" w:afterLines="50" w:line="600" w:lineRule="exact"/>
        <w:ind w:left="0" w:leftChars="0" w:right="0" w:firstLine="420" w:firstLineChars="0"/>
        <w:jc w:val="left"/>
        <w:textAlignment w:val="auto"/>
        <w:rPr>
          <w:rFonts w:hint="default" w:ascii="Times New Roman" w:hAnsi="Times New Roman" w:eastAsia="黑体" w:cs="Times New Roman"/>
          <w:b w:val="0"/>
          <w:bCs w:val="0"/>
          <w:color w:val="auto"/>
          <w:kern w:val="44"/>
          <w:sz w:val="32"/>
          <w:szCs w:val="32"/>
          <w:highlight w:val="none"/>
          <w:lang w:val="en-US" w:bidi="ar-SA"/>
        </w:rPr>
      </w:pPr>
      <w:bookmarkStart w:id="6" w:name="_Toc17345"/>
      <w:r>
        <w:rPr>
          <w:rFonts w:hint="default" w:ascii="Times New Roman" w:hAnsi="Times New Roman" w:eastAsia="黑体" w:cs="Times New Roman"/>
          <w:b w:val="0"/>
          <w:bCs w:val="0"/>
          <w:color w:val="auto"/>
          <w:kern w:val="44"/>
          <w:sz w:val="32"/>
          <w:szCs w:val="32"/>
          <w:highlight w:val="none"/>
          <w:lang w:val="en-US" w:bidi="ar-SA"/>
        </w:rPr>
        <w:t>基本情况</w:t>
      </w:r>
      <w:bookmarkEnd w:id="6"/>
    </w:p>
    <w:p>
      <w:pPr>
        <w:pStyle w:val="4"/>
        <w:keepNext/>
        <w:keepLines/>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3" w:firstLineChars="200"/>
        <w:jc w:val="both"/>
        <w:textAlignment w:val="auto"/>
        <w:rPr>
          <w:rFonts w:hint="default" w:ascii="Times New Roman" w:hAnsi="Times New Roman" w:eastAsia="楷体_GB2312" w:cs="Times New Roman"/>
          <w:b/>
          <w:bCs/>
          <w:i w:val="0"/>
          <w:caps w:val="0"/>
          <w:color w:val="auto"/>
          <w:spacing w:val="0"/>
          <w:w w:val="100"/>
          <w:sz w:val="32"/>
          <w:highlight w:val="none"/>
        </w:rPr>
      </w:pPr>
      <w:bookmarkStart w:id="7" w:name="_Toc14387"/>
      <w:r>
        <w:rPr>
          <w:rFonts w:hint="default" w:ascii="Times New Roman" w:hAnsi="Times New Roman" w:eastAsia="楷体_GB2312" w:cs="Times New Roman"/>
          <w:b/>
          <w:bCs/>
          <w:i w:val="0"/>
          <w:caps w:val="0"/>
          <w:color w:val="auto"/>
          <w:spacing w:val="0"/>
          <w:w w:val="100"/>
          <w:sz w:val="32"/>
          <w:highlight w:val="none"/>
          <w:lang w:eastAsia="zh-CN"/>
        </w:rPr>
        <w:t>（</w:t>
      </w:r>
      <w:r>
        <w:rPr>
          <w:rFonts w:hint="default" w:ascii="Times New Roman" w:hAnsi="Times New Roman" w:eastAsia="楷体_GB2312" w:cs="Times New Roman"/>
          <w:b/>
          <w:bCs/>
          <w:i w:val="0"/>
          <w:caps w:val="0"/>
          <w:color w:val="auto"/>
          <w:spacing w:val="0"/>
          <w:w w:val="100"/>
          <w:sz w:val="32"/>
          <w:highlight w:val="none"/>
          <w:lang w:val="en-US" w:eastAsia="zh-CN"/>
        </w:rPr>
        <w:t>一</w:t>
      </w:r>
      <w:r>
        <w:rPr>
          <w:rFonts w:hint="default" w:ascii="Times New Roman" w:hAnsi="Times New Roman" w:eastAsia="楷体_GB2312" w:cs="Times New Roman"/>
          <w:b/>
          <w:bCs/>
          <w:i w:val="0"/>
          <w:caps w:val="0"/>
          <w:color w:val="auto"/>
          <w:spacing w:val="0"/>
          <w:w w:val="100"/>
          <w:sz w:val="32"/>
          <w:highlight w:val="none"/>
          <w:lang w:eastAsia="zh-CN"/>
        </w:rPr>
        <w:t>）</w:t>
      </w:r>
      <w:r>
        <w:rPr>
          <w:rFonts w:hint="default" w:ascii="Times New Roman" w:hAnsi="Times New Roman" w:eastAsia="楷体_GB2312" w:cs="Times New Roman"/>
          <w:b/>
          <w:bCs/>
          <w:i w:val="0"/>
          <w:caps w:val="0"/>
          <w:color w:val="auto"/>
          <w:spacing w:val="0"/>
          <w:w w:val="100"/>
          <w:sz w:val="32"/>
          <w:highlight w:val="none"/>
        </w:rPr>
        <w:t>成片开发位置、范围、面积</w:t>
      </w:r>
      <w:bookmarkEnd w:id="7"/>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after="0" w:line="600" w:lineRule="exact"/>
        <w:ind w:left="0" w:right="0" w:firstLine="640" w:firstLineChars="200"/>
        <w:jc w:val="left"/>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本方案位于仙游县滨海新城东北部，属枫亭北片区，片区范围东临</w:t>
      </w:r>
      <w:r>
        <w:rPr>
          <w:rFonts w:hint="eastAsia" w:ascii="Times New Roman" w:hAnsi="Times New Roman" w:eastAsia="仿宋_GB2312" w:cs="Times New Roman"/>
          <w:b w:val="0"/>
          <w:bCs w:val="0"/>
          <w:color w:val="auto"/>
          <w:kern w:val="0"/>
          <w:sz w:val="32"/>
          <w:szCs w:val="32"/>
          <w:highlight w:val="none"/>
          <w:lang w:val="en-US" w:eastAsia="zh-CN" w:bidi="ar-SA"/>
        </w:rPr>
        <w:t>林地</w:t>
      </w:r>
      <w:r>
        <w:rPr>
          <w:rFonts w:hint="default" w:ascii="Times New Roman" w:hAnsi="Times New Roman" w:eastAsia="仿宋_GB2312" w:cs="Times New Roman"/>
          <w:b w:val="0"/>
          <w:bCs w:val="0"/>
          <w:color w:val="auto"/>
          <w:kern w:val="0"/>
          <w:sz w:val="32"/>
          <w:szCs w:val="32"/>
          <w:highlight w:val="none"/>
          <w:lang w:val="en-US" w:eastAsia="zh-CN" w:bidi="ar-SA"/>
        </w:rPr>
        <w:t>，南近仙港大道，西近开发区水厂，北靠六戈山。本方案涉及枫亭镇斗北村，共</w:t>
      </w:r>
      <w:r>
        <w:rPr>
          <w:rFonts w:hint="eastAsia" w:ascii="Times New Roman" w:hAnsi="Times New Roman" w:eastAsia="仿宋_GB2312" w:cs="Times New Roman"/>
          <w:b w:val="0"/>
          <w:bCs w:val="0"/>
          <w:color w:val="auto"/>
          <w:kern w:val="0"/>
          <w:sz w:val="32"/>
          <w:szCs w:val="32"/>
          <w:highlight w:val="none"/>
          <w:lang w:val="en-US" w:eastAsia="zh-CN" w:bidi="ar-SA"/>
        </w:rPr>
        <w:t>1</w:t>
      </w:r>
      <w:r>
        <w:rPr>
          <w:rFonts w:hint="default" w:ascii="Times New Roman" w:hAnsi="Times New Roman" w:eastAsia="仿宋_GB2312" w:cs="Times New Roman"/>
          <w:b w:val="0"/>
          <w:bCs w:val="0"/>
          <w:color w:val="auto"/>
          <w:kern w:val="0"/>
          <w:sz w:val="32"/>
          <w:szCs w:val="32"/>
          <w:highlight w:val="none"/>
          <w:lang w:val="en-US" w:eastAsia="zh-CN" w:bidi="ar-SA"/>
        </w:rPr>
        <w:t>个镇</w:t>
      </w:r>
      <w:r>
        <w:rPr>
          <w:rFonts w:hint="eastAsia" w:ascii="Times New Roman" w:hAnsi="Times New Roman" w:eastAsia="仿宋_GB2312" w:cs="Times New Roman"/>
          <w:b w:val="0"/>
          <w:bCs w:val="0"/>
          <w:color w:val="auto"/>
          <w:kern w:val="0"/>
          <w:sz w:val="32"/>
          <w:szCs w:val="32"/>
          <w:highlight w:val="none"/>
          <w:lang w:val="en-US" w:eastAsia="zh-CN" w:bidi="ar-SA"/>
        </w:rPr>
        <w:t>1</w:t>
      </w:r>
      <w:r>
        <w:rPr>
          <w:rFonts w:hint="default" w:ascii="Times New Roman" w:hAnsi="Times New Roman" w:eastAsia="仿宋_GB2312" w:cs="Times New Roman"/>
          <w:b w:val="0"/>
          <w:bCs w:val="0"/>
          <w:color w:val="auto"/>
          <w:kern w:val="0"/>
          <w:sz w:val="32"/>
          <w:szCs w:val="32"/>
          <w:highlight w:val="none"/>
          <w:lang w:val="en-US" w:eastAsia="zh-CN" w:bidi="ar-SA"/>
        </w:rPr>
        <w:t>个村，本批次成片开发</w:t>
      </w:r>
      <w:r>
        <w:rPr>
          <w:rFonts w:hint="eastAsia" w:ascii="Times New Roman" w:hAnsi="Times New Roman" w:eastAsia="仿宋_GB2312" w:cs="Times New Roman"/>
          <w:b w:val="0"/>
          <w:bCs w:val="0"/>
          <w:color w:val="auto"/>
          <w:kern w:val="0"/>
          <w:sz w:val="32"/>
          <w:szCs w:val="32"/>
          <w:highlight w:val="none"/>
          <w:lang w:val="en-US" w:eastAsia="zh-CN" w:bidi="ar-SA"/>
        </w:rPr>
        <w:t>不涉及</w:t>
      </w:r>
      <w:r>
        <w:rPr>
          <w:rFonts w:hint="default" w:ascii="Times New Roman" w:hAnsi="Times New Roman" w:eastAsia="仿宋_GB2312" w:cs="Times New Roman"/>
          <w:b w:val="0"/>
          <w:bCs w:val="0"/>
          <w:color w:val="auto"/>
          <w:kern w:val="0"/>
          <w:sz w:val="32"/>
          <w:szCs w:val="32"/>
          <w:highlight w:val="none"/>
          <w:lang w:val="en-US" w:eastAsia="zh-CN" w:bidi="ar-SA"/>
        </w:rPr>
        <w:t>福建仙游经济开发区。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after="0" w:line="600" w:lineRule="exact"/>
        <w:ind w:right="0"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根据实地勘测调查，本方案成片开发范围总面积</w:t>
      </w:r>
      <w:r>
        <w:rPr>
          <w:rFonts w:hint="eastAsia" w:ascii="Times New Roman" w:hAnsi="Times New Roman" w:eastAsia="仿宋_GB2312" w:cs="Times New Roman"/>
          <w:b w:val="0"/>
          <w:bCs w:val="0"/>
          <w:color w:val="auto"/>
          <w:kern w:val="0"/>
          <w:sz w:val="32"/>
          <w:szCs w:val="32"/>
          <w:highlight w:val="none"/>
          <w:lang w:val="en-US" w:eastAsia="zh-CN" w:bidi="ar-SA"/>
        </w:rPr>
        <w:t>9.1952</w:t>
      </w:r>
      <w:r>
        <w:rPr>
          <w:rFonts w:hint="default" w:ascii="Times New Roman" w:hAnsi="Times New Roman" w:eastAsia="仿宋_GB2312" w:cs="Times New Roman"/>
          <w:b w:val="0"/>
          <w:bCs w:val="0"/>
          <w:color w:val="auto"/>
          <w:kern w:val="0"/>
          <w:sz w:val="32"/>
          <w:szCs w:val="32"/>
          <w:highlight w:val="none"/>
          <w:lang w:val="en-US" w:eastAsia="zh-CN" w:bidi="ar-SA"/>
        </w:rPr>
        <w:t>公顷，其中：农用地</w:t>
      </w:r>
      <w:r>
        <w:rPr>
          <w:rFonts w:hint="eastAsia" w:ascii="Times New Roman" w:hAnsi="Times New Roman" w:eastAsia="仿宋_GB2312" w:cs="Times New Roman"/>
          <w:b w:val="0"/>
          <w:bCs w:val="0"/>
          <w:color w:val="auto"/>
          <w:kern w:val="0"/>
          <w:sz w:val="32"/>
          <w:szCs w:val="32"/>
          <w:highlight w:val="none"/>
          <w:lang w:val="en-US" w:eastAsia="zh-CN" w:bidi="ar-SA"/>
        </w:rPr>
        <w:t>0.5284</w:t>
      </w:r>
      <w:r>
        <w:rPr>
          <w:rFonts w:hint="default" w:ascii="Times New Roman" w:hAnsi="Times New Roman" w:eastAsia="仿宋_GB2312" w:cs="Times New Roman"/>
          <w:b w:val="0"/>
          <w:bCs w:val="0"/>
          <w:color w:val="auto"/>
          <w:kern w:val="0"/>
          <w:sz w:val="32"/>
          <w:szCs w:val="32"/>
          <w:highlight w:val="none"/>
          <w:lang w:val="en-US" w:eastAsia="zh-CN" w:bidi="ar-SA"/>
        </w:rPr>
        <w:t>公顷（耕地</w:t>
      </w:r>
      <w:r>
        <w:rPr>
          <w:rFonts w:hint="eastAsia" w:ascii="Times New Roman" w:hAnsi="Times New Roman" w:eastAsia="仿宋_GB2312" w:cs="Times New Roman"/>
          <w:b w:val="0"/>
          <w:bCs w:val="0"/>
          <w:color w:val="auto"/>
          <w:kern w:val="0"/>
          <w:sz w:val="32"/>
          <w:szCs w:val="32"/>
          <w:highlight w:val="none"/>
          <w:lang w:val="en-US" w:eastAsia="zh-CN" w:bidi="ar-SA"/>
        </w:rPr>
        <w:t>0.0000</w:t>
      </w:r>
      <w:r>
        <w:rPr>
          <w:rFonts w:hint="default" w:ascii="Times New Roman" w:hAnsi="Times New Roman" w:eastAsia="仿宋_GB2312" w:cs="Times New Roman"/>
          <w:b w:val="0"/>
          <w:bCs w:val="0"/>
          <w:color w:val="auto"/>
          <w:kern w:val="0"/>
          <w:sz w:val="32"/>
          <w:szCs w:val="32"/>
          <w:highlight w:val="none"/>
          <w:lang w:val="en-US" w:eastAsia="zh-CN" w:bidi="ar-SA"/>
        </w:rPr>
        <w:t>公顷），建设用地</w:t>
      </w:r>
      <w:r>
        <w:rPr>
          <w:rFonts w:hint="eastAsia" w:ascii="Times New Roman" w:hAnsi="Times New Roman" w:eastAsia="仿宋_GB2312" w:cs="Times New Roman"/>
          <w:b w:val="0"/>
          <w:bCs w:val="0"/>
          <w:color w:val="auto"/>
          <w:kern w:val="0"/>
          <w:sz w:val="32"/>
          <w:szCs w:val="32"/>
          <w:highlight w:val="none"/>
          <w:lang w:val="en-US" w:eastAsia="zh-CN" w:bidi="ar-SA"/>
        </w:rPr>
        <w:t>8.6668</w:t>
      </w:r>
      <w:r>
        <w:rPr>
          <w:rFonts w:hint="default" w:ascii="Times New Roman" w:hAnsi="Times New Roman" w:eastAsia="仿宋_GB2312" w:cs="Times New Roman"/>
          <w:b w:val="0"/>
          <w:bCs w:val="0"/>
          <w:color w:val="auto"/>
          <w:kern w:val="0"/>
          <w:sz w:val="32"/>
          <w:szCs w:val="32"/>
          <w:highlight w:val="none"/>
          <w:lang w:val="en-US" w:eastAsia="zh-CN" w:bidi="ar-SA"/>
        </w:rPr>
        <w:t>公顷，不涉及未利用地。</w:t>
      </w:r>
    </w:p>
    <w:p>
      <w:pPr>
        <w:pStyle w:val="4"/>
        <w:keepNext/>
        <w:keepLines/>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3" w:firstLineChars="200"/>
        <w:jc w:val="both"/>
        <w:textAlignment w:val="auto"/>
        <w:rPr>
          <w:rFonts w:hint="default" w:ascii="Times New Roman" w:hAnsi="Times New Roman" w:eastAsia="楷体_GB2312" w:cs="Times New Roman"/>
          <w:b/>
          <w:bCs/>
          <w:i w:val="0"/>
          <w:caps w:val="0"/>
          <w:color w:val="auto"/>
          <w:spacing w:val="0"/>
          <w:w w:val="100"/>
          <w:sz w:val="32"/>
          <w:highlight w:val="none"/>
        </w:rPr>
      </w:pPr>
      <w:bookmarkStart w:id="8" w:name="_Toc22669"/>
      <w:r>
        <w:rPr>
          <w:rFonts w:hint="default" w:ascii="Times New Roman" w:hAnsi="Times New Roman" w:eastAsia="楷体_GB2312" w:cs="Times New Roman"/>
          <w:b/>
          <w:bCs/>
          <w:i w:val="0"/>
          <w:caps w:val="0"/>
          <w:color w:val="auto"/>
          <w:spacing w:val="0"/>
          <w:w w:val="100"/>
          <w:sz w:val="32"/>
          <w:highlight w:val="none"/>
          <w:lang w:eastAsia="zh-CN"/>
        </w:rPr>
        <w:t>（</w:t>
      </w:r>
      <w:r>
        <w:rPr>
          <w:rFonts w:hint="default" w:ascii="Times New Roman" w:hAnsi="Times New Roman" w:eastAsia="楷体_GB2312" w:cs="Times New Roman"/>
          <w:b/>
          <w:bCs/>
          <w:i w:val="0"/>
          <w:caps w:val="0"/>
          <w:color w:val="auto"/>
          <w:spacing w:val="0"/>
          <w:w w:val="100"/>
          <w:sz w:val="32"/>
          <w:highlight w:val="none"/>
          <w:lang w:val="en-US" w:eastAsia="zh-CN"/>
        </w:rPr>
        <w:t>二</w:t>
      </w:r>
      <w:r>
        <w:rPr>
          <w:rFonts w:hint="default" w:ascii="Times New Roman" w:hAnsi="Times New Roman" w:eastAsia="楷体_GB2312" w:cs="Times New Roman"/>
          <w:b/>
          <w:bCs/>
          <w:i w:val="0"/>
          <w:caps w:val="0"/>
          <w:color w:val="auto"/>
          <w:spacing w:val="0"/>
          <w:w w:val="100"/>
          <w:sz w:val="32"/>
          <w:highlight w:val="none"/>
          <w:lang w:eastAsia="zh-CN"/>
        </w:rPr>
        <w:t>）</w:t>
      </w:r>
      <w:r>
        <w:rPr>
          <w:rFonts w:hint="default" w:ascii="Times New Roman" w:hAnsi="Times New Roman" w:eastAsia="楷体_GB2312" w:cs="Times New Roman"/>
          <w:b/>
          <w:bCs/>
          <w:i w:val="0"/>
          <w:caps w:val="0"/>
          <w:color w:val="auto"/>
          <w:spacing w:val="0"/>
          <w:w w:val="100"/>
          <w:sz w:val="32"/>
          <w:highlight w:val="none"/>
        </w:rPr>
        <w:t>实施周期</w:t>
      </w:r>
      <w:bookmarkEnd w:id="8"/>
    </w:p>
    <w:p>
      <w:pPr>
        <w:pStyle w:val="7"/>
        <w:keepNext w:val="0"/>
        <w:keepLines w:val="0"/>
        <w:pageBreakBefore w:val="0"/>
        <w:widowControl w:val="0"/>
        <w:kinsoku/>
        <w:wordWrap/>
        <w:overflowPunct/>
        <w:topLinePunct w:val="0"/>
        <w:autoSpaceDE w:val="0"/>
        <w:autoSpaceDN w:val="0"/>
        <w:bidi w:val="0"/>
        <w:adjustRightInd/>
        <w:snapToGrid w:val="0"/>
        <w:spacing w:before="0" w:beforeAutospacing="0" w:after="0" w:afterLines="0" w:afterAutospacing="0" w:line="560" w:lineRule="exact"/>
        <w:ind w:left="0" w:right="0" w:firstLine="640" w:firstLineChars="200"/>
        <w:jc w:val="both"/>
        <w:textAlignment w:val="baseline"/>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b w:val="0"/>
          <w:bCs w:val="0"/>
          <w:color w:val="auto"/>
          <w:kern w:val="0"/>
          <w:sz w:val="32"/>
          <w:szCs w:val="32"/>
          <w:highlight w:val="none"/>
          <w:lang w:val="en-US" w:eastAsia="zh-CN" w:bidi="ar-SA"/>
        </w:rPr>
        <w:t>综合考虑当地经济社会发展状况等因素，按照“严控增量、盘活存量、优化结构、提高效率”的原则，本方案实施周期为</w:t>
      </w:r>
      <w:r>
        <w:rPr>
          <w:rFonts w:hint="eastAsia" w:ascii="Times New Roman" w:hAnsi="Times New Roman" w:eastAsia="仿宋_GB2312" w:cs="Times New Roman"/>
          <w:b w:val="0"/>
          <w:bCs w:val="0"/>
          <w:color w:val="auto"/>
          <w:kern w:val="0"/>
          <w:sz w:val="32"/>
          <w:szCs w:val="32"/>
          <w:highlight w:val="none"/>
          <w:lang w:val="en-US" w:eastAsia="zh-CN" w:bidi="ar-SA"/>
        </w:rPr>
        <w:t>批复后2年</w:t>
      </w:r>
      <w:r>
        <w:rPr>
          <w:rFonts w:hint="default" w:ascii="Times New Roman" w:hAnsi="Times New Roman" w:eastAsia="仿宋_GB2312" w:cs="Times New Roman"/>
          <w:b w:val="0"/>
          <w:bCs w:val="0"/>
          <w:color w:val="auto"/>
          <w:kern w:val="0"/>
          <w:sz w:val="32"/>
          <w:szCs w:val="32"/>
          <w:highlight w:val="none"/>
          <w:lang w:val="en-US" w:eastAsia="zh-CN" w:bidi="ar-SA"/>
        </w:rPr>
        <w:t>（</w:t>
      </w:r>
      <w:r>
        <w:rPr>
          <w:rFonts w:hint="eastAsia" w:ascii="Times New Roman" w:hAnsi="Times New Roman" w:eastAsia="仿宋_GB2312" w:cs="Times New Roman"/>
          <w:b w:val="0"/>
          <w:bCs w:val="0"/>
          <w:color w:val="auto"/>
          <w:kern w:val="0"/>
          <w:sz w:val="32"/>
          <w:szCs w:val="32"/>
          <w:highlight w:val="none"/>
          <w:lang w:val="en-US" w:eastAsia="zh-CN" w:bidi="ar-SA"/>
        </w:rPr>
        <w:t>批复后第一年至第二年</w:t>
      </w:r>
      <w:r>
        <w:rPr>
          <w:rFonts w:hint="default" w:ascii="Times New Roman" w:hAnsi="Times New Roman" w:eastAsia="仿宋_GB2312" w:cs="Times New Roman"/>
          <w:b w:val="0"/>
          <w:bCs w:val="0"/>
          <w:color w:val="auto"/>
          <w:kern w:val="0"/>
          <w:sz w:val="32"/>
          <w:szCs w:val="32"/>
          <w:highlight w:val="none"/>
          <w:lang w:val="en-US" w:eastAsia="zh-CN" w:bidi="ar-SA"/>
        </w:rPr>
        <w:t>）。</w:t>
      </w:r>
    </w:p>
    <w:p>
      <w:pPr>
        <w:pStyle w:val="3"/>
        <w:keepNext/>
        <w:keepLines/>
        <w:pageBreakBefore w:val="0"/>
        <w:widowControl w:val="0"/>
        <w:numPr>
          <w:ilvl w:val="0"/>
          <w:numId w:val="1"/>
        </w:numPr>
        <w:kinsoku/>
        <w:wordWrap/>
        <w:overflowPunct/>
        <w:topLinePunct w:val="0"/>
        <w:autoSpaceDE/>
        <w:autoSpaceDN/>
        <w:bidi w:val="0"/>
        <w:adjustRightInd/>
        <w:snapToGrid/>
        <w:spacing w:before="157" w:beforeLines="50" w:after="157" w:afterLines="50" w:line="600" w:lineRule="exact"/>
        <w:ind w:left="0" w:leftChars="0" w:right="0" w:firstLine="420" w:firstLineChars="0"/>
        <w:jc w:val="left"/>
        <w:textAlignment w:val="auto"/>
        <w:rPr>
          <w:rFonts w:hint="default" w:ascii="Times New Roman" w:hAnsi="Times New Roman" w:eastAsia="黑体" w:cs="Times New Roman"/>
          <w:b w:val="0"/>
          <w:bCs w:val="0"/>
          <w:i w:val="0"/>
          <w:caps w:val="0"/>
          <w:color w:val="auto"/>
          <w:spacing w:val="0"/>
          <w:w w:val="100"/>
          <w:sz w:val="32"/>
          <w:highlight w:val="none"/>
        </w:rPr>
      </w:pPr>
      <w:bookmarkStart w:id="9" w:name="_Toc30331"/>
      <w:r>
        <w:rPr>
          <w:rFonts w:hint="default" w:ascii="Times New Roman" w:hAnsi="Times New Roman" w:eastAsia="黑体" w:cs="Times New Roman"/>
          <w:b w:val="0"/>
          <w:bCs w:val="0"/>
          <w:i w:val="0"/>
          <w:caps w:val="0"/>
          <w:color w:val="auto"/>
          <w:spacing w:val="0"/>
          <w:w w:val="100"/>
          <w:sz w:val="32"/>
          <w:highlight w:val="none"/>
        </w:rPr>
        <w:t>必要性分析</w:t>
      </w:r>
      <w:r>
        <w:rPr>
          <w:rFonts w:hint="default" w:ascii="Times New Roman" w:hAnsi="Times New Roman" w:eastAsia="黑体" w:cs="Times New Roman"/>
          <w:b w:val="0"/>
          <w:bCs w:val="0"/>
          <w:i w:val="0"/>
          <w:caps w:val="0"/>
          <w:color w:val="auto"/>
          <w:spacing w:val="0"/>
          <w:w w:val="100"/>
          <w:sz w:val="32"/>
          <w:highlight w:val="none"/>
          <w:lang w:val="en-US" w:eastAsia="zh-CN"/>
        </w:rPr>
        <w:t>和科学合理性分析</w:t>
      </w:r>
      <w:bookmarkEnd w:id="9"/>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43" w:firstLineChars="200"/>
        <w:jc w:val="both"/>
        <w:textAlignment w:val="auto"/>
        <w:outlineLvl w:val="1"/>
        <w:rPr>
          <w:rFonts w:hint="default" w:ascii="Times New Roman" w:hAnsi="Times New Roman" w:eastAsia="黑体" w:cs="Times New Roman"/>
          <w:b/>
          <w:bCs/>
          <w:i w:val="0"/>
          <w:caps w:val="0"/>
          <w:color w:val="auto"/>
          <w:spacing w:val="0"/>
          <w:w w:val="100"/>
          <w:sz w:val="32"/>
          <w:highlight w:val="none"/>
        </w:rPr>
      </w:pPr>
      <w:bookmarkStart w:id="10" w:name="_Toc8799"/>
      <w:r>
        <w:rPr>
          <w:rFonts w:hint="default" w:ascii="Times New Roman" w:hAnsi="Times New Roman" w:eastAsia="楷体_GB2312" w:cs="Times New Roman"/>
          <w:b/>
          <w:bCs/>
          <w:color w:val="auto"/>
          <w:sz w:val="32"/>
          <w:szCs w:val="32"/>
          <w:highlight w:val="none"/>
          <w:lang w:val="en-US" w:eastAsia="zh-CN"/>
        </w:rPr>
        <w:t>（一）必要性分析</w:t>
      </w:r>
      <w:bookmarkEnd w:id="10"/>
    </w:p>
    <w:p>
      <w:pPr>
        <w:pStyle w:val="5"/>
        <w:keepNext/>
        <w:keepLines/>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600" w:lineRule="exact"/>
        <w:ind w:leftChars="0" w:right="0" w:rightChars="0" w:firstLine="643" w:firstLineChars="200"/>
        <w:jc w:val="both"/>
        <w:textAlignment w:val="auto"/>
        <w:outlineLvl w:val="2"/>
        <w:rPr>
          <w:rFonts w:hint="default" w:ascii="Times New Roman" w:hAnsi="Times New Roman" w:eastAsia="仿宋_GB2312" w:cs="Times New Roman"/>
          <w:b/>
          <w:bCs/>
          <w:i w:val="0"/>
          <w:caps w:val="0"/>
          <w:color w:val="auto"/>
          <w:spacing w:val="0"/>
          <w:w w:val="100"/>
          <w:sz w:val="32"/>
          <w:szCs w:val="22"/>
          <w:highlight w:val="none"/>
          <w:lang w:val="en-US" w:eastAsia="zh-CN" w:bidi="zh-CN"/>
        </w:rPr>
      </w:pPr>
      <w:r>
        <w:rPr>
          <w:rFonts w:hint="default" w:ascii="Times New Roman" w:hAnsi="Times New Roman" w:eastAsia="仿宋_GB2312" w:cs="Times New Roman"/>
          <w:b/>
          <w:bCs/>
          <w:i w:val="0"/>
          <w:caps w:val="0"/>
          <w:color w:val="auto"/>
          <w:spacing w:val="0"/>
          <w:w w:val="100"/>
          <w:sz w:val="32"/>
          <w:szCs w:val="22"/>
          <w:highlight w:val="none"/>
          <w:lang w:val="en-US" w:eastAsia="zh-CN" w:bidi="zh-CN"/>
        </w:rPr>
        <w:t>1.加快科技创新能力，打造高端制造业发展平台</w:t>
      </w:r>
    </w:p>
    <w:p>
      <w:pPr>
        <w:pStyle w:val="7"/>
        <w:keepNext w:val="0"/>
        <w:keepLines w:val="0"/>
        <w:pageBreakBefore w:val="0"/>
        <w:widowControl w:val="0"/>
        <w:tabs>
          <w:tab w:val="left" w:pos="9020"/>
        </w:tabs>
        <w:kinsoku/>
        <w:wordWrap/>
        <w:overflowPunct/>
        <w:topLinePunct w:val="0"/>
        <w:autoSpaceDE w:val="0"/>
        <w:autoSpaceDN w:val="0"/>
        <w:bidi w:val="0"/>
        <w:adjustRightInd/>
        <w:snapToGrid w:val="0"/>
        <w:spacing w:before="0" w:beforeAutospacing="0" w:after="0" w:afterAutospacing="0" w:line="600" w:lineRule="exact"/>
        <w:ind w:left="0" w:right="0" w:firstLine="640" w:firstLineChars="200"/>
        <w:jc w:val="both"/>
        <w:textAlignment w:val="baseline"/>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本片区作为仙游高端装备产业园，拟开发建设高端制造业。该项目的建成投产，可以丰富企业轮胎产品系列，提高企业在国内市场的占有率，增强抗风险能力；打入国际市场，实现出口创汇，参与国际市场的竞争，效益可观。</w:t>
      </w:r>
    </w:p>
    <w:p>
      <w:pPr>
        <w:pStyle w:val="5"/>
        <w:keepNext/>
        <w:keepLines/>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600" w:lineRule="exact"/>
        <w:ind w:leftChars="0" w:right="0" w:rightChars="0" w:firstLine="643" w:firstLineChars="200"/>
        <w:jc w:val="both"/>
        <w:textAlignment w:val="auto"/>
        <w:outlineLvl w:val="2"/>
        <w:rPr>
          <w:rFonts w:hint="default" w:ascii="Times New Roman" w:hAnsi="Times New Roman" w:eastAsia="仿宋_GB2312" w:cs="Times New Roman"/>
          <w:b/>
          <w:bCs/>
          <w:i w:val="0"/>
          <w:caps w:val="0"/>
          <w:color w:val="auto"/>
          <w:spacing w:val="0"/>
          <w:w w:val="100"/>
          <w:sz w:val="32"/>
          <w:szCs w:val="22"/>
          <w:highlight w:val="none"/>
          <w:lang w:val="en-US" w:eastAsia="zh-CN" w:bidi="zh-CN"/>
        </w:rPr>
      </w:pPr>
      <w:r>
        <w:rPr>
          <w:rFonts w:hint="default" w:ascii="Times New Roman" w:hAnsi="Times New Roman" w:eastAsia="仿宋_GB2312" w:cs="Times New Roman"/>
          <w:b/>
          <w:bCs/>
          <w:i w:val="0"/>
          <w:caps w:val="0"/>
          <w:color w:val="auto"/>
          <w:spacing w:val="0"/>
          <w:w w:val="100"/>
          <w:sz w:val="32"/>
          <w:szCs w:val="22"/>
          <w:highlight w:val="none"/>
          <w:lang w:val="en-US" w:eastAsia="zh-CN" w:bidi="zh-CN"/>
        </w:rPr>
        <w:t>2.把握政策机遇，促进产业振兴</w:t>
      </w:r>
    </w:p>
    <w:p>
      <w:pPr>
        <w:pStyle w:val="7"/>
        <w:keepNext w:val="0"/>
        <w:keepLines w:val="0"/>
        <w:pageBreakBefore w:val="0"/>
        <w:widowControl w:val="0"/>
        <w:kinsoku/>
        <w:wordWrap/>
        <w:overflowPunct/>
        <w:topLinePunct w:val="0"/>
        <w:autoSpaceDE w:val="0"/>
        <w:autoSpaceDN w:val="0"/>
        <w:bidi w:val="0"/>
        <w:adjustRightInd/>
        <w:snapToGrid w:val="0"/>
        <w:spacing w:before="0" w:beforeAutospacing="0" w:after="0" w:afterLines="0" w:afterAutospacing="0" w:line="600" w:lineRule="exact"/>
        <w:ind w:left="0" w:right="0" w:firstLine="640" w:firstLineChars="200"/>
        <w:jc w:val="both"/>
        <w:textAlignment w:val="baseline"/>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仙游县国民经济和社会发展第十四个五年规划和二〇三五年远景目标纲要》提出：以产业规划为引领，聚力土地集约利用，挖潜增效盘活发展空间，优化“双园带动”“三区协同”的生产空间布局，加快形成特色鲜明、支撑力强的产业集群。仙游经济开发区是“双园带动”的重要组成部分，本方案位于仙游经济开发区枫亭北片区，借助工业优势，运用工业思维，实施产业发展规划，以成片开发建设带动当地产业振兴，积极推动高端装备等产业集聚发展。</w:t>
      </w:r>
    </w:p>
    <w:p>
      <w:pPr>
        <w:pStyle w:val="5"/>
        <w:keepNext/>
        <w:keepLines/>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600" w:lineRule="exact"/>
        <w:ind w:leftChars="0" w:right="0" w:rightChars="0" w:firstLine="643" w:firstLineChars="200"/>
        <w:jc w:val="both"/>
        <w:textAlignment w:val="auto"/>
        <w:outlineLvl w:val="2"/>
        <w:rPr>
          <w:rFonts w:hint="default" w:ascii="Times New Roman" w:hAnsi="Times New Roman" w:eastAsia="仿宋_GB2312" w:cs="Times New Roman"/>
          <w:b/>
          <w:bCs/>
          <w:i w:val="0"/>
          <w:caps w:val="0"/>
          <w:color w:val="auto"/>
          <w:spacing w:val="0"/>
          <w:w w:val="100"/>
          <w:sz w:val="32"/>
          <w:szCs w:val="22"/>
          <w:highlight w:val="none"/>
          <w:lang w:val="en-US" w:eastAsia="zh-CN" w:bidi="zh-CN"/>
        </w:rPr>
      </w:pPr>
      <w:bookmarkStart w:id="11" w:name="_Toc11121"/>
      <w:r>
        <w:rPr>
          <w:rFonts w:hint="default" w:ascii="Times New Roman" w:hAnsi="Times New Roman" w:eastAsia="仿宋_GB2312" w:cs="Times New Roman"/>
          <w:b/>
          <w:bCs/>
          <w:i w:val="0"/>
          <w:caps w:val="0"/>
          <w:color w:val="auto"/>
          <w:spacing w:val="0"/>
          <w:w w:val="100"/>
          <w:sz w:val="32"/>
          <w:szCs w:val="22"/>
          <w:highlight w:val="none"/>
          <w:lang w:val="en-US" w:eastAsia="zh-CN" w:bidi="zh-CN"/>
        </w:rPr>
        <w:t>3.提高土地利用效率，集约节约用地</w:t>
      </w:r>
      <w:bookmarkEnd w:id="11"/>
    </w:p>
    <w:p>
      <w:pPr>
        <w:pStyle w:val="7"/>
        <w:keepNext w:val="0"/>
        <w:keepLines w:val="0"/>
        <w:pageBreakBefore w:val="0"/>
        <w:widowControl w:val="0"/>
        <w:kinsoku/>
        <w:wordWrap/>
        <w:overflowPunct/>
        <w:topLinePunct w:val="0"/>
        <w:autoSpaceDE w:val="0"/>
        <w:autoSpaceDN w:val="0"/>
        <w:bidi w:val="0"/>
        <w:adjustRightInd/>
        <w:snapToGrid w:val="0"/>
        <w:spacing w:before="0" w:beforeAutospacing="0" w:after="0" w:afterLines="0" w:afterAutospacing="0" w:line="600" w:lineRule="exact"/>
        <w:ind w:left="0" w:right="0" w:firstLine="640" w:firstLineChars="200"/>
        <w:jc w:val="both"/>
        <w:textAlignment w:val="baseline"/>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本方案位于仙游经济开发区枫亭北片区，该片区功能定位为：仙游高端制造业发展平台；仙游滨海新区发展引擎；产城融合发展示范区 。片区建设和运营对基础设施要求高，用地需求量大，有必要由政府通过成片开发对片区地表、地上和地下空间统一规划，配套建设交通、给排水等基础设施，并且使得这些设施与现有基础设施配套衔接起来，避免低效建设、重复建设和资源浪费，从而实现土地资源的综合利用和高效利用，节约集约用地，以更好满足仙游县经济社会可持续发展的用地需求。</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b w:val="0"/>
          <w:bCs w:val="0"/>
          <w:i w:val="0"/>
          <w:caps w:val="0"/>
          <w:color w:val="auto"/>
          <w:spacing w:val="0"/>
          <w:w w:val="100"/>
          <w:kern w:val="2"/>
          <w:sz w:val="32"/>
          <w:szCs w:val="32"/>
          <w:highlight w:val="none"/>
          <w:lang w:val="en-US" w:eastAsia="zh-CN" w:bidi="ar-SA"/>
        </w:rPr>
        <w:sectPr>
          <w:footerReference r:id="rId8" w:type="default"/>
          <w:pgSz w:w="11905" w:h="16838"/>
          <w:pgMar w:top="2098" w:right="1474" w:bottom="1984" w:left="1587" w:header="850" w:footer="992" w:gutter="0"/>
          <w:pgBorders>
            <w:top w:val="none" w:sz="0" w:space="0"/>
            <w:left w:val="none" w:sz="0" w:space="0"/>
            <w:bottom w:val="none" w:sz="0" w:space="0"/>
            <w:right w:val="none" w:sz="0" w:space="0"/>
          </w:pgBorders>
          <w:pgNumType w:fmt="decimal"/>
          <w:cols w:space="0" w:num="1"/>
          <w:rtlGutter w:val="0"/>
          <w:docGrid w:type="lines" w:linePitch="327" w:charSpace="0"/>
        </w:sectPr>
      </w:pPr>
      <w:r>
        <w:rPr>
          <w:rFonts w:hint="default" w:ascii="Times New Roman" w:hAnsi="Times New Roman" w:eastAsia="黑体" w:cs="Times New Roman"/>
          <w:b w:val="0"/>
          <w:bCs w:val="0"/>
          <w:color w:val="auto"/>
          <w:sz w:val="32"/>
          <w:szCs w:val="32"/>
          <w:highlight w:val="none"/>
          <w:lang w:val="en-US" w:eastAsia="zh-CN"/>
        </w:rPr>
        <w:br w:type="page"/>
      </w:r>
    </w:p>
    <w:p>
      <w:pPr>
        <w:pStyle w:val="3"/>
        <w:keepNext/>
        <w:keepLines/>
        <w:pageBreakBefore w:val="0"/>
        <w:widowControl w:val="0"/>
        <w:numPr>
          <w:ilvl w:val="0"/>
          <w:numId w:val="1"/>
        </w:numPr>
        <w:kinsoku/>
        <w:wordWrap/>
        <w:overflowPunct/>
        <w:topLinePunct w:val="0"/>
        <w:autoSpaceDE/>
        <w:autoSpaceDN/>
        <w:bidi w:val="0"/>
        <w:adjustRightInd/>
        <w:snapToGrid/>
        <w:spacing w:before="157" w:beforeLines="50" w:after="157" w:afterLines="50" w:line="600" w:lineRule="exact"/>
        <w:ind w:left="0" w:leftChars="0" w:right="0" w:firstLine="420" w:firstLineChars="0"/>
        <w:jc w:val="left"/>
        <w:textAlignment w:val="auto"/>
        <w:rPr>
          <w:rFonts w:hint="default" w:ascii="Times New Roman" w:hAnsi="Times New Roman" w:eastAsia="黑体" w:cs="Times New Roman"/>
          <w:b w:val="0"/>
          <w:bCs w:val="0"/>
          <w:color w:val="auto"/>
          <w:kern w:val="44"/>
          <w:szCs w:val="44"/>
          <w:highlight w:val="none"/>
          <w:lang w:val="en-US" w:bidi="ar-SA"/>
        </w:rPr>
      </w:pPr>
      <w:bookmarkStart w:id="12" w:name="_Toc7740"/>
      <w:r>
        <w:rPr>
          <w:rFonts w:hint="default" w:ascii="Times New Roman" w:hAnsi="Times New Roman" w:eastAsia="黑体" w:cs="Times New Roman"/>
          <w:b w:val="0"/>
          <w:bCs w:val="0"/>
          <w:color w:val="auto"/>
          <w:kern w:val="44"/>
          <w:szCs w:val="44"/>
          <w:highlight w:val="none"/>
          <w:lang w:val="en-US" w:bidi="ar-SA"/>
        </w:rPr>
        <w:t>主要用途、实现功能及公益性用地比例</w:t>
      </w:r>
      <w:bookmarkEnd w:id="12"/>
    </w:p>
    <w:p>
      <w:pPr>
        <w:keepNext w:val="0"/>
        <w:keepLines w:val="0"/>
        <w:pageBreakBefore w:val="0"/>
        <w:widowControl/>
        <w:kinsoku/>
        <w:wordWrap/>
        <w:overflowPunct/>
        <w:topLinePunct w:val="0"/>
        <w:autoSpaceDE/>
        <w:autoSpaceDN/>
        <w:bidi w:val="0"/>
        <w:adjustRightInd/>
        <w:snapToGrid/>
        <w:spacing w:before="0" w:after="0" w:line="600" w:lineRule="exact"/>
        <w:ind w:left="0" w:right="0"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本方案用地总面积</w:t>
      </w:r>
      <w:r>
        <w:rPr>
          <w:rFonts w:hint="eastAsia" w:ascii="Times New Roman" w:hAnsi="Times New Roman" w:eastAsia="仿宋_GB2312" w:cs="Times New Roman"/>
          <w:b w:val="0"/>
          <w:bCs w:val="0"/>
          <w:color w:val="auto"/>
          <w:kern w:val="0"/>
          <w:sz w:val="32"/>
          <w:szCs w:val="32"/>
          <w:highlight w:val="none"/>
          <w:lang w:val="en-US" w:eastAsia="zh-CN" w:bidi="ar-SA"/>
        </w:rPr>
        <w:t>9.1952</w:t>
      </w:r>
      <w:r>
        <w:rPr>
          <w:rFonts w:hint="default" w:ascii="Times New Roman" w:hAnsi="Times New Roman" w:eastAsia="仿宋_GB2312" w:cs="Times New Roman"/>
          <w:b w:val="0"/>
          <w:bCs w:val="0"/>
          <w:color w:val="auto"/>
          <w:kern w:val="0"/>
          <w:sz w:val="32"/>
          <w:szCs w:val="32"/>
          <w:highlight w:val="none"/>
          <w:lang w:val="en-US" w:eastAsia="zh-CN" w:bidi="ar-SA"/>
        </w:rPr>
        <w:t>公顷，主要用途为工矿用地</w:t>
      </w:r>
      <w:r>
        <w:rPr>
          <w:rFonts w:hint="eastAsia" w:ascii="Times New Roman" w:hAnsi="Times New Roman" w:eastAsia="仿宋_GB2312" w:cs="Times New Roman"/>
          <w:b w:val="0"/>
          <w:bCs w:val="0"/>
          <w:color w:val="auto"/>
          <w:kern w:val="0"/>
          <w:sz w:val="32"/>
          <w:szCs w:val="32"/>
          <w:highlight w:val="none"/>
          <w:lang w:val="en-US" w:eastAsia="zh-CN" w:bidi="ar-SA"/>
        </w:rPr>
        <w:t>（二类工业用地）</w:t>
      </w:r>
      <w:r>
        <w:rPr>
          <w:rFonts w:hint="default" w:ascii="Times New Roman" w:hAnsi="Times New Roman" w:eastAsia="仿宋_GB2312" w:cs="Times New Roman"/>
          <w:b w:val="0"/>
          <w:bCs w:val="0"/>
          <w:color w:val="auto"/>
          <w:kern w:val="0"/>
          <w:sz w:val="32"/>
          <w:szCs w:val="32"/>
          <w:highlight w:val="none"/>
          <w:lang w:val="en-US" w:eastAsia="zh-CN" w:bidi="ar-SA"/>
        </w:rPr>
        <w:t>。其中，工矿用地面积</w:t>
      </w:r>
      <w:r>
        <w:rPr>
          <w:rFonts w:hint="eastAsia" w:ascii="Times New Roman" w:hAnsi="Times New Roman" w:eastAsia="仿宋_GB2312" w:cs="Times New Roman"/>
          <w:b w:val="0"/>
          <w:bCs w:val="0"/>
          <w:color w:val="auto"/>
          <w:kern w:val="0"/>
          <w:sz w:val="32"/>
          <w:szCs w:val="32"/>
          <w:highlight w:val="none"/>
          <w:lang w:val="en-US" w:eastAsia="zh-CN" w:bidi="ar-SA"/>
        </w:rPr>
        <w:t>4.9511</w:t>
      </w:r>
      <w:r>
        <w:rPr>
          <w:rFonts w:hint="default" w:ascii="Times New Roman" w:hAnsi="Times New Roman" w:eastAsia="仿宋_GB2312" w:cs="Times New Roman"/>
          <w:b w:val="0"/>
          <w:bCs w:val="0"/>
          <w:color w:val="auto"/>
          <w:kern w:val="0"/>
          <w:sz w:val="32"/>
          <w:szCs w:val="32"/>
          <w:highlight w:val="none"/>
          <w:lang w:val="en-US" w:eastAsia="zh-CN" w:bidi="ar-SA"/>
        </w:rPr>
        <w:t>公顷，实现工业生产功能；绿地与开敞空间用地面积</w:t>
      </w:r>
      <w:r>
        <w:rPr>
          <w:rFonts w:hint="eastAsia" w:ascii="Times New Roman" w:hAnsi="Times New Roman" w:eastAsia="仿宋_GB2312" w:cs="Times New Roman"/>
          <w:b w:val="0"/>
          <w:bCs w:val="0"/>
          <w:color w:val="auto"/>
          <w:kern w:val="0"/>
          <w:sz w:val="32"/>
          <w:szCs w:val="32"/>
          <w:highlight w:val="none"/>
          <w:lang w:val="en-US" w:eastAsia="zh-CN" w:bidi="ar-SA"/>
        </w:rPr>
        <w:t>4.2441</w:t>
      </w:r>
      <w:r>
        <w:rPr>
          <w:rFonts w:hint="default" w:ascii="Times New Roman" w:hAnsi="Times New Roman" w:eastAsia="仿宋_GB2312" w:cs="Times New Roman"/>
          <w:b w:val="0"/>
          <w:bCs w:val="0"/>
          <w:color w:val="auto"/>
          <w:kern w:val="0"/>
          <w:sz w:val="32"/>
          <w:szCs w:val="32"/>
          <w:highlight w:val="none"/>
          <w:lang w:val="en-US" w:eastAsia="zh-CN" w:bidi="ar-SA"/>
        </w:rPr>
        <w:t>公顷，实现美化环境，降低污染功能。</w:t>
      </w:r>
    </w:p>
    <w:p>
      <w:pPr>
        <w:keepNext w:val="0"/>
        <w:keepLines w:val="0"/>
        <w:pageBreakBefore w:val="0"/>
        <w:widowControl/>
        <w:kinsoku/>
        <w:wordWrap/>
        <w:overflowPunct/>
        <w:topLinePunct w:val="0"/>
        <w:autoSpaceDE/>
        <w:autoSpaceDN/>
        <w:bidi w:val="0"/>
        <w:adjustRightInd/>
        <w:snapToGrid/>
        <w:spacing w:before="0" w:after="0" w:line="600" w:lineRule="exact"/>
        <w:ind w:left="0" w:right="0"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公益性用地</w:t>
      </w:r>
      <w:r>
        <w:rPr>
          <w:rFonts w:hint="eastAsia" w:ascii="Times New Roman" w:hAnsi="Times New Roman" w:eastAsia="仿宋_GB2312" w:cs="Times New Roman"/>
          <w:b w:val="0"/>
          <w:bCs w:val="0"/>
          <w:color w:val="auto"/>
          <w:kern w:val="0"/>
          <w:sz w:val="32"/>
          <w:szCs w:val="32"/>
          <w:highlight w:val="none"/>
          <w:lang w:val="en-US" w:eastAsia="zh-CN" w:bidi="ar-SA"/>
        </w:rPr>
        <w:t>为</w:t>
      </w:r>
      <w:r>
        <w:rPr>
          <w:rFonts w:hint="default" w:ascii="Times New Roman" w:hAnsi="Times New Roman" w:eastAsia="仿宋_GB2312" w:cs="Times New Roman"/>
          <w:b w:val="0"/>
          <w:bCs w:val="0"/>
          <w:color w:val="auto"/>
          <w:kern w:val="0"/>
          <w:sz w:val="32"/>
          <w:szCs w:val="32"/>
          <w:highlight w:val="none"/>
          <w:lang w:val="en-US" w:eastAsia="zh-CN" w:bidi="ar-SA"/>
        </w:rPr>
        <w:t>绿地与开敞空间用地（防护绿地），</w:t>
      </w:r>
      <w:r>
        <w:rPr>
          <w:rFonts w:hint="eastAsia" w:ascii="Times New Roman" w:hAnsi="Times New Roman" w:eastAsia="仿宋_GB2312" w:cs="Times New Roman"/>
          <w:b w:val="0"/>
          <w:bCs w:val="0"/>
          <w:color w:val="auto"/>
          <w:kern w:val="0"/>
          <w:sz w:val="32"/>
          <w:szCs w:val="32"/>
          <w:highlight w:val="none"/>
          <w:lang w:val="en-US" w:eastAsia="zh-CN" w:bidi="ar-SA"/>
        </w:rPr>
        <w:t>面积为4.2441</w:t>
      </w:r>
      <w:r>
        <w:rPr>
          <w:rFonts w:hint="default" w:ascii="Times New Roman" w:hAnsi="Times New Roman" w:eastAsia="仿宋_GB2312" w:cs="Times New Roman"/>
          <w:b w:val="0"/>
          <w:bCs w:val="0"/>
          <w:color w:val="auto"/>
          <w:kern w:val="0"/>
          <w:sz w:val="32"/>
          <w:szCs w:val="32"/>
          <w:highlight w:val="none"/>
          <w:lang w:val="en-US" w:eastAsia="zh-CN" w:bidi="ar-SA"/>
        </w:rPr>
        <w:t>公顷，占用地总面积的</w:t>
      </w:r>
      <w:r>
        <w:rPr>
          <w:rFonts w:hint="eastAsia" w:ascii="Times New Roman" w:hAnsi="Times New Roman" w:eastAsia="仿宋_GB2312" w:cs="Times New Roman"/>
          <w:b w:val="0"/>
          <w:bCs w:val="0"/>
          <w:color w:val="auto"/>
          <w:kern w:val="0"/>
          <w:sz w:val="32"/>
          <w:szCs w:val="32"/>
          <w:highlight w:val="none"/>
          <w:lang w:val="en-US" w:eastAsia="zh-CN" w:bidi="ar-SA"/>
        </w:rPr>
        <w:t>46.16</w:t>
      </w:r>
      <w:r>
        <w:rPr>
          <w:rFonts w:hint="default" w:ascii="Times New Roman" w:hAnsi="Times New Roman" w:eastAsia="仿宋_GB2312" w:cs="Times New Roman"/>
          <w:b w:val="0"/>
          <w:bCs w:val="0"/>
          <w:color w:val="auto"/>
          <w:kern w:val="0"/>
          <w:sz w:val="32"/>
          <w:szCs w:val="32"/>
          <w:highlight w:val="none"/>
          <w:lang w:val="en-US" w:eastAsia="zh-CN" w:bidi="ar-SA"/>
        </w:rPr>
        <w:t>%，符合自然资规〔2020〕5号文规定。</w:t>
      </w:r>
    </w:p>
    <w:p>
      <w:pPr>
        <w:pStyle w:val="7"/>
        <w:snapToGrid w:val="0"/>
        <w:spacing w:before="0" w:beforeAutospacing="0" w:after="0" w:afterLines="0" w:afterAutospacing="0" w:line="560" w:lineRule="exact"/>
        <w:ind w:left="0" w:right="0" w:firstLine="640" w:firstLineChars="200"/>
        <w:jc w:val="both"/>
        <w:textAlignment w:val="baseline"/>
        <w:rPr>
          <w:rFonts w:hint="default" w:ascii="Times New Roman" w:hAnsi="Times New Roman" w:eastAsia="仿宋_GB2312" w:cs="Times New Roman"/>
          <w:b w:val="0"/>
          <w:bCs w:val="0"/>
          <w:i w:val="0"/>
          <w:caps w:val="0"/>
          <w:color w:val="auto"/>
          <w:spacing w:val="0"/>
          <w:w w:val="100"/>
          <w:kern w:val="2"/>
          <w:sz w:val="32"/>
          <w:szCs w:val="32"/>
          <w:highlight w:val="none"/>
          <w:lang w:val="en-US" w:eastAsia="zh-CN" w:bidi="ar-SA"/>
        </w:rPr>
        <w:sectPr>
          <w:pgSz w:w="11905" w:h="16838"/>
          <w:pgMar w:top="2098" w:right="1474" w:bottom="1984" w:left="1587" w:header="850" w:footer="992" w:gutter="0"/>
          <w:pgBorders>
            <w:top w:val="none" w:sz="0" w:space="0"/>
            <w:left w:val="none" w:sz="0" w:space="0"/>
            <w:bottom w:val="none" w:sz="0" w:space="0"/>
            <w:right w:val="none" w:sz="0" w:space="0"/>
          </w:pgBorders>
          <w:pgNumType w:fmt="decimal"/>
          <w:cols w:space="0" w:num="1"/>
          <w:rtlGutter w:val="0"/>
          <w:docGrid w:type="lines" w:linePitch="327" w:charSpace="0"/>
        </w:sectPr>
      </w:pPr>
    </w:p>
    <w:p>
      <w:pPr>
        <w:pStyle w:val="3"/>
        <w:keepNext/>
        <w:keepLines/>
        <w:pageBreakBefore w:val="0"/>
        <w:widowControl w:val="0"/>
        <w:numPr>
          <w:ilvl w:val="0"/>
          <w:numId w:val="1"/>
        </w:numPr>
        <w:kinsoku/>
        <w:wordWrap/>
        <w:overflowPunct/>
        <w:topLinePunct w:val="0"/>
        <w:autoSpaceDE/>
        <w:autoSpaceDN/>
        <w:bidi w:val="0"/>
        <w:adjustRightInd/>
        <w:snapToGrid/>
        <w:spacing w:before="157" w:beforeLines="50" w:after="157" w:afterLines="50" w:line="600" w:lineRule="exact"/>
        <w:ind w:left="0" w:leftChars="0" w:right="0" w:firstLine="420" w:firstLineChars="0"/>
        <w:jc w:val="left"/>
        <w:textAlignment w:val="auto"/>
        <w:rPr>
          <w:rFonts w:hint="default" w:ascii="Times New Roman" w:hAnsi="Times New Roman" w:eastAsia="黑体" w:cs="Times New Roman"/>
          <w:b w:val="0"/>
          <w:bCs w:val="0"/>
          <w:color w:val="auto"/>
          <w:kern w:val="44"/>
          <w:szCs w:val="44"/>
          <w:highlight w:val="none"/>
          <w:lang w:val="en-US" w:bidi="ar-SA"/>
        </w:rPr>
      </w:pPr>
      <w:bookmarkStart w:id="13" w:name="_bookmark15"/>
      <w:bookmarkEnd w:id="13"/>
      <w:bookmarkStart w:id="14" w:name="_Toc31461"/>
      <w:r>
        <w:rPr>
          <w:rFonts w:hint="default" w:ascii="Times New Roman" w:hAnsi="Times New Roman" w:eastAsia="黑体" w:cs="Times New Roman"/>
          <w:b w:val="0"/>
          <w:bCs w:val="0"/>
          <w:color w:val="auto"/>
          <w:kern w:val="44"/>
          <w:szCs w:val="44"/>
          <w:highlight w:val="none"/>
          <w:lang w:val="en-US" w:bidi="ar-SA"/>
        </w:rPr>
        <w:t>拟建项目及实施计划</w:t>
      </w:r>
      <w:bookmarkEnd w:id="14"/>
    </w:p>
    <w:p>
      <w:pPr>
        <w:pageBreakBefore w:val="0"/>
        <w:widowControl/>
        <w:kinsoku/>
        <w:wordWrap/>
        <w:overflowPunct/>
        <w:topLinePunct w:val="0"/>
        <w:autoSpaceDE/>
        <w:autoSpaceDN/>
        <w:bidi w:val="0"/>
        <w:snapToGrid/>
        <w:spacing w:before="157" w:beforeLines="50" w:after="157" w:afterLines="50" w:line="600" w:lineRule="exact"/>
        <w:ind w:left="0" w:righ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本方案</w:t>
      </w:r>
      <w:r>
        <w:rPr>
          <w:rFonts w:hint="eastAsia" w:ascii="Times New Roman" w:hAnsi="Times New Roman" w:eastAsia="仿宋_GB2312" w:cs="Times New Roman"/>
          <w:b w:val="0"/>
          <w:bCs w:val="0"/>
          <w:color w:val="auto"/>
          <w:kern w:val="2"/>
          <w:sz w:val="32"/>
          <w:szCs w:val="32"/>
          <w:highlight w:val="none"/>
          <w:lang w:val="en-US" w:eastAsia="zh-CN" w:bidi="ar-SA"/>
        </w:rPr>
        <w:t>用地总面积9.1952公顷，拟安排实施用地面积9.1952</w:t>
      </w:r>
      <w:r>
        <w:rPr>
          <w:rFonts w:hint="default" w:ascii="Times New Roman" w:hAnsi="Times New Roman" w:eastAsia="仿宋_GB2312" w:cs="Times New Roman"/>
          <w:b w:val="0"/>
          <w:bCs w:val="0"/>
          <w:color w:val="auto"/>
          <w:sz w:val="32"/>
          <w:szCs w:val="32"/>
          <w:highlight w:val="none"/>
        </w:rPr>
        <w:t>公顷</w:t>
      </w:r>
      <w:r>
        <w:rPr>
          <w:rFonts w:hint="eastAsia"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val="en-US" w:eastAsia="zh-CN" w:bidi="ar-SA"/>
        </w:rPr>
        <w:t>计划实施周期为</w:t>
      </w:r>
      <w:r>
        <w:rPr>
          <w:rFonts w:hint="eastAsia" w:ascii="Times New Roman" w:hAnsi="Times New Roman" w:eastAsia="仿宋_GB2312" w:cs="Times New Roman"/>
          <w:b w:val="0"/>
          <w:bCs w:val="0"/>
          <w:color w:val="auto"/>
          <w:kern w:val="2"/>
          <w:sz w:val="32"/>
          <w:szCs w:val="32"/>
          <w:highlight w:val="none"/>
          <w:lang w:val="en-US" w:eastAsia="zh-CN" w:bidi="ar-SA"/>
        </w:rPr>
        <w:t>批复后第一年至批复后第二</w:t>
      </w:r>
      <w:r>
        <w:rPr>
          <w:rFonts w:hint="default" w:ascii="Times New Roman" w:hAnsi="Times New Roman" w:eastAsia="仿宋_GB2312" w:cs="Times New Roman"/>
          <w:b w:val="0"/>
          <w:bCs w:val="0"/>
          <w:color w:val="auto"/>
          <w:kern w:val="2"/>
          <w:sz w:val="32"/>
          <w:szCs w:val="32"/>
          <w:highlight w:val="none"/>
          <w:lang w:val="en-US" w:eastAsia="zh-CN" w:bidi="ar-SA"/>
        </w:rPr>
        <w:t>年，</w:t>
      </w:r>
      <w:r>
        <w:rPr>
          <w:rFonts w:hint="eastAsia" w:ascii="Times New Roman" w:hAnsi="Times New Roman" w:eastAsia="仿宋_GB2312" w:cs="Times New Roman"/>
          <w:b w:val="0"/>
          <w:bCs w:val="0"/>
          <w:color w:val="auto"/>
          <w:kern w:val="2"/>
          <w:sz w:val="32"/>
          <w:szCs w:val="32"/>
          <w:highlight w:val="none"/>
          <w:lang w:val="en-US" w:eastAsia="zh-CN" w:bidi="ar-SA"/>
        </w:rPr>
        <w:t>2</w:t>
      </w:r>
      <w:r>
        <w:rPr>
          <w:rFonts w:hint="default" w:ascii="Times New Roman" w:hAnsi="Times New Roman" w:eastAsia="仿宋_GB2312" w:cs="Times New Roman"/>
          <w:b w:val="0"/>
          <w:bCs w:val="0"/>
          <w:color w:val="auto"/>
          <w:kern w:val="2"/>
          <w:sz w:val="32"/>
          <w:szCs w:val="32"/>
          <w:highlight w:val="none"/>
          <w:lang w:val="en-US" w:eastAsia="zh-CN" w:bidi="ar-SA"/>
        </w:rPr>
        <w:t>年内实施完毕，其中：</w:t>
      </w:r>
      <w:r>
        <w:rPr>
          <w:rFonts w:hint="eastAsia" w:ascii="Times New Roman" w:hAnsi="Times New Roman" w:eastAsia="仿宋_GB2312" w:cs="Times New Roman"/>
          <w:b w:val="0"/>
          <w:bCs w:val="0"/>
          <w:color w:val="auto"/>
          <w:kern w:val="2"/>
          <w:sz w:val="32"/>
          <w:szCs w:val="32"/>
          <w:highlight w:val="none"/>
          <w:lang w:val="en-US" w:eastAsia="zh-CN" w:bidi="ar-SA"/>
        </w:rPr>
        <w:t>批复后第一年</w:t>
      </w:r>
      <w:r>
        <w:rPr>
          <w:rFonts w:hint="default" w:ascii="Times New Roman" w:hAnsi="Times New Roman" w:eastAsia="仿宋_GB2312" w:cs="Times New Roman"/>
          <w:b w:val="0"/>
          <w:bCs w:val="0"/>
          <w:color w:val="auto"/>
          <w:kern w:val="2"/>
          <w:sz w:val="32"/>
          <w:szCs w:val="32"/>
          <w:highlight w:val="none"/>
          <w:lang w:val="en-US" w:eastAsia="zh-CN" w:bidi="ar-SA"/>
        </w:rPr>
        <w:t>实施面积</w:t>
      </w:r>
      <w:r>
        <w:rPr>
          <w:rFonts w:hint="eastAsia" w:ascii="Times New Roman" w:hAnsi="Times New Roman" w:eastAsia="仿宋_GB2312" w:cs="Times New Roman"/>
          <w:b w:val="0"/>
          <w:bCs w:val="0"/>
          <w:color w:val="auto"/>
          <w:kern w:val="2"/>
          <w:sz w:val="32"/>
          <w:szCs w:val="32"/>
          <w:highlight w:val="none"/>
          <w:lang w:val="en-US" w:eastAsia="zh-CN" w:bidi="ar-SA"/>
        </w:rPr>
        <w:t>4.9511</w:t>
      </w:r>
      <w:r>
        <w:rPr>
          <w:rFonts w:hint="default" w:ascii="Times New Roman" w:hAnsi="Times New Roman" w:eastAsia="仿宋_GB2312" w:cs="Times New Roman"/>
          <w:b w:val="0"/>
          <w:bCs w:val="0"/>
          <w:color w:val="auto"/>
          <w:kern w:val="2"/>
          <w:sz w:val="32"/>
          <w:szCs w:val="32"/>
          <w:highlight w:val="none"/>
          <w:lang w:val="en-US" w:eastAsia="zh-CN" w:bidi="ar-SA"/>
        </w:rPr>
        <w:t>公顷，完成比例</w:t>
      </w:r>
      <w:r>
        <w:rPr>
          <w:rFonts w:hint="eastAsia" w:ascii="Times New Roman" w:hAnsi="Times New Roman" w:eastAsia="仿宋_GB2312" w:cs="Times New Roman"/>
          <w:b w:val="0"/>
          <w:bCs w:val="0"/>
          <w:color w:val="auto"/>
          <w:kern w:val="2"/>
          <w:sz w:val="32"/>
          <w:szCs w:val="32"/>
          <w:highlight w:val="none"/>
          <w:lang w:val="en-US" w:eastAsia="zh-CN" w:bidi="ar-SA"/>
        </w:rPr>
        <w:t>53.84</w:t>
      </w:r>
      <w:r>
        <w:rPr>
          <w:rFonts w:hint="default" w:ascii="Times New Roman" w:hAnsi="Times New Roman"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，拟安排工业生产项目</w:t>
      </w:r>
      <w:r>
        <w:rPr>
          <w:rFonts w:hint="default" w:ascii="Times New Roman" w:hAnsi="Times New Roman"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批复后第二</w:t>
      </w:r>
      <w:r>
        <w:rPr>
          <w:rFonts w:hint="default" w:ascii="Times New Roman" w:hAnsi="Times New Roman" w:eastAsia="仿宋_GB2312" w:cs="Times New Roman"/>
          <w:b w:val="0"/>
          <w:bCs w:val="0"/>
          <w:color w:val="auto"/>
          <w:kern w:val="2"/>
          <w:sz w:val="32"/>
          <w:szCs w:val="32"/>
          <w:highlight w:val="none"/>
          <w:lang w:val="en-US" w:eastAsia="zh-CN" w:bidi="ar-SA"/>
        </w:rPr>
        <w:t>年实施面积</w:t>
      </w:r>
      <w:r>
        <w:rPr>
          <w:rFonts w:hint="eastAsia" w:ascii="Times New Roman" w:hAnsi="Times New Roman" w:eastAsia="仿宋_GB2312" w:cs="Times New Roman"/>
          <w:b w:val="0"/>
          <w:bCs w:val="0"/>
          <w:color w:val="auto"/>
          <w:kern w:val="2"/>
          <w:sz w:val="32"/>
          <w:szCs w:val="32"/>
          <w:highlight w:val="none"/>
          <w:lang w:val="en-US" w:eastAsia="zh-CN" w:bidi="ar-SA"/>
        </w:rPr>
        <w:t>4.2441</w:t>
      </w:r>
      <w:r>
        <w:rPr>
          <w:rFonts w:hint="default" w:ascii="Times New Roman" w:hAnsi="Times New Roman" w:eastAsia="仿宋_GB2312" w:cs="Times New Roman"/>
          <w:b w:val="0"/>
          <w:bCs w:val="0"/>
          <w:color w:val="auto"/>
          <w:kern w:val="2"/>
          <w:sz w:val="32"/>
          <w:szCs w:val="32"/>
          <w:highlight w:val="none"/>
          <w:lang w:val="en-US" w:eastAsia="zh-CN" w:bidi="ar-SA"/>
        </w:rPr>
        <w:t>公顷，完成比例</w:t>
      </w:r>
      <w:r>
        <w:rPr>
          <w:rFonts w:hint="eastAsia" w:ascii="Times New Roman" w:hAnsi="Times New Roman" w:eastAsia="仿宋_GB2312" w:cs="Times New Roman"/>
          <w:b w:val="0"/>
          <w:bCs w:val="0"/>
          <w:color w:val="auto"/>
          <w:kern w:val="2"/>
          <w:sz w:val="32"/>
          <w:szCs w:val="32"/>
          <w:highlight w:val="none"/>
          <w:lang w:val="en-US" w:eastAsia="zh-CN" w:bidi="ar-SA"/>
        </w:rPr>
        <w:t>46.16</w:t>
      </w:r>
      <w:r>
        <w:rPr>
          <w:rFonts w:hint="default" w:ascii="Times New Roman" w:hAnsi="Times New Roman"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，拟安排防护绿地建设</w:t>
      </w:r>
      <w:r>
        <w:rPr>
          <w:rFonts w:hint="default" w:ascii="Times New Roman" w:hAnsi="Times New Roman" w:eastAsia="仿宋_GB2312" w:cs="Times New Roman"/>
          <w:b w:val="0"/>
          <w:bCs w:val="0"/>
          <w:color w:val="auto"/>
          <w:kern w:val="2"/>
          <w:sz w:val="32"/>
          <w:szCs w:val="32"/>
          <w:highlight w:val="none"/>
          <w:lang w:val="en-US" w:eastAsia="zh-CN" w:bidi="ar-SA"/>
        </w:rPr>
        <w:t>。</w:t>
      </w:r>
    </w:p>
    <w:p>
      <w:pPr>
        <w:pStyle w:val="7"/>
        <w:snapToGrid w:val="0"/>
        <w:spacing w:before="0" w:beforeAutospacing="0" w:after="0" w:afterLines="0" w:afterAutospacing="0" w:line="560" w:lineRule="exact"/>
        <w:ind w:left="0" w:right="0" w:firstLine="640" w:firstLineChars="200"/>
        <w:jc w:val="both"/>
        <w:textAlignment w:val="baseline"/>
        <w:rPr>
          <w:rFonts w:hint="default" w:ascii="Times New Roman" w:hAnsi="Times New Roman" w:eastAsia="仿宋_GB2312" w:cs="Times New Roman"/>
          <w:b w:val="0"/>
          <w:bCs w:val="0"/>
          <w:i w:val="0"/>
          <w:caps w:val="0"/>
          <w:color w:val="auto"/>
          <w:spacing w:val="0"/>
          <w:w w:val="100"/>
          <w:kern w:val="2"/>
          <w:sz w:val="32"/>
          <w:szCs w:val="32"/>
          <w:highlight w:val="none"/>
          <w:lang w:val="en-US" w:eastAsia="zh-CN" w:bidi="ar-SA"/>
        </w:rPr>
        <w:sectPr>
          <w:pgSz w:w="11905" w:h="16838"/>
          <w:pgMar w:top="2098" w:right="1474" w:bottom="1984" w:left="1587" w:header="850" w:footer="992" w:gutter="0"/>
          <w:pgBorders>
            <w:top w:val="none" w:sz="0" w:space="0"/>
            <w:left w:val="none" w:sz="0" w:space="0"/>
            <w:bottom w:val="none" w:sz="0" w:space="0"/>
            <w:right w:val="none" w:sz="0" w:space="0"/>
          </w:pgBorders>
          <w:pgNumType w:fmt="decimal"/>
          <w:cols w:space="0" w:num="1"/>
          <w:rtlGutter w:val="0"/>
          <w:docGrid w:type="lines" w:linePitch="327" w:charSpace="0"/>
        </w:sectPr>
      </w:pPr>
    </w:p>
    <w:p>
      <w:pPr>
        <w:pStyle w:val="3"/>
        <w:keepNext/>
        <w:keepLines/>
        <w:pageBreakBefore w:val="0"/>
        <w:widowControl w:val="0"/>
        <w:numPr>
          <w:ilvl w:val="0"/>
          <w:numId w:val="1"/>
        </w:numPr>
        <w:kinsoku/>
        <w:wordWrap/>
        <w:overflowPunct/>
        <w:topLinePunct w:val="0"/>
        <w:autoSpaceDE/>
        <w:autoSpaceDN/>
        <w:bidi w:val="0"/>
        <w:adjustRightInd/>
        <w:snapToGrid/>
        <w:spacing w:before="157" w:beforeLines="50" w:after="157" w:afterLines="50" w:line="600" w:lineRule="exact"/>
        <w:ind w:left="0" w:leftChars="0" w:right="0" w:firstLine="420" w:firstLineChars="0"/>
        <w:jc w:val="left"/>
        <w:textAlignment w:val="auto"/>
        <w:rPr>
          <w:rFonts w:hint="default" w:ascii="Times New Roman" w:hAnsi="Times New Roman" w:eastAsia="黑体" w:cs="Times New Roman"/>
          <w:b w:val="0"/>
          <w:bCs w:val="0"/>
          <w:color w:val="auto"/>
          <w:kern w:val="44"/>
          <w:szCs w:val="44"/>
          <w:highlight w:val="none"/>
          <w:lang w:val="en-US" w:bidi="ar-SA"/>
        </w:rPr>
      </w:pPr>
      <w:bookmarkStart w:id="15" w:name="_bookmark17"/>
      <w:bookmarkEnd w:id="15"/>
      <w:bookmarkStart w:id="16" w:name="_bookmark16"/>
      <w:bookmarkEnd w:id="16"/>
      <w:bookmarkStart w:id="17" w:name="_Toc26783"/>
      <w:r>
        <w:rPr>
          <w:rFonts w:hint="default" w:ascii="Times New Roman" w:hAnsi="Times New Roman" w:eastAsia="黑体" w:cs="Times New Roman"/>
          <w:b w:val="0"/>
          <w:bCs w:val="0"/>
          <w:color w:val="auto"/>
          <w:kern w:val="44"/>
          <w:szCs w:val="44"/>
          <w:highlight w:val="none"/>
          <w:lang w:val="en-US" w:bidi="ar-SA"/>
        </w:rPr>
        <w:t>合规性分析</w:t>
      </w:r>
      <w:bookmarkEnd w:id="17"/>
    </w:p>
    <w:p>
      <w:pPr>
        <w:pStyle w:val="4"/>
        <w:keepNext/>
        <w:keepLines/>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3" w:firstLineChars="200"/>
        <w:jc w:val="both"/>
        <w:textAlignment w:val="auto"/>
        <w:rPr>
          <w:rFonts w:hint="default" w:ascii="Times New Roman" w:hAnsi="Times New Roman" w:eastAsia="楷体_GB2312" w:cs="Times New Roman"/>
          <w:b/>
          <w:bCs/>
          <w:color w:val="auto"/>
          <w:kern w:val="2"/>
          <w:szCs w:val="32"/>
          <w:highlight w:val="none"/>
          <w:lang w:val="en-US" w:eastAsia="zh-CN" w:bidi="ar-SA"/>
        </w:rPr>
      </w:pPr>
      <w:bookmarkStart w:id="18" w:name="_Toc21054"/>
      <w:r>
        <w:rPr>
          <w:rFonts w:hint="default" w:ascii="Times New Roman" w:hAnsi="Times New Roman" w:eastAsia="楷体_GB2312" w:cs="Times New Roman"/>
          <w:b/>
          <w:bCs/>
          <w:color w:val="auto"/>
          <w:kern w:val="2"/>
          <w:szCs w:val="32"/>
          <w:highlight w:val="none"/>
          <w:lang w:val="en-US" w:eastAsia="zh-CN" w:bidi="ar-SA"/>
        </w:rPr>
        <w:t>（一）国土空间规划</w:t>
      </w:r>
      <w:bookmarkEnd w:id="18"/>
    </w:p>
    <w:p>
      <w:pPr>
        <w:keepNext w:val="0"/>
        <w:keepLines w:val="0"/>
        <w:pageBreakBefore w:val="0"/>
        <w:widowControl/>
        <w:kinsoku/>
        <w:wordWrap/>
        <w:overflowPunct/>
        <w:topLinePunct w:val="0"/>
        <w:autoSpaceDE/>
        <w:autoSpaceDN/>
        <w:bidi w:val="0"/>
        <w:adjustRightInd/>
        <w:snapToGrid/>
        <w:spacing w:before="0" w:after="0" w:line="600" w:lineRule="exact"/>
        <w:ind w:left="0" w:right="0"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zh-CN"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本方案成片开发范围已位于</w:t>
      </w:r>
      <w:r>
        <w:rPr>
          <w:rFonts w:hint="default" w:ascii="Times New Roman" w:hAnsi="Times New Roman" w:eastAsia="仿宋_GB2312" w:cs="Times New Roman"/>
          <w:b w:val="0"/>
          <w:bCs w:val="0"/>
          <w:color w:val="auto"/>
          <w:kern w:val="0"/>
          <w:sz w:val="32"/>
          <w:szCs w:val="32"/>
          <w:highlight w:val="none"/>
          <w:lang w:val="zh-CN" w:eastAsia="zh-CN" w:bidi="ar-SA"/>
        </w:rPr>
        <w:t>城镇开发边界</w:t>
      </w:r>
      <w:r>
        <w:rPr>
          <w:rFonts w:hint="eastAsia" w:ascii="Times New Roman" w:hAnsi="Times New Roman" w:eastAsia="仿宋_GB2312" w:cs="Times New Roman"/>
          <w:b w:val="0"/>
          <w:bCs w:val="0"/>
          <w:color w:val="auto"/>
          <w:kern w:val="0"/>
          <w:sz w:val="32"/>
          <w:szCs w:val="32"/>
          <w:highlight w:val="none"/>
          <w:lang w:val="en-US" w:eastAsia="zh-CN" w:bidi="ar-SA"/>
        </w:rPr>
        <w:t>的</w:t>
      </w:r>
      <w:r>
        <w:rPr>
          <w:rFonts w:hint="default" w:ascii="Times New Roman" w:hAnsi="Times New Roman" w:eastAsia="仿宋_GB2312" w:cs="Times New Roman"/>
          <w:b w:val="0"/>
          <w:bCs w:val="0"/>
          <w:color w:val="auto"/>
          <w:kern w:val="0"/>
          <w:sz w:val="32"/>
          <w:szCs w:val="32"/>
          <w:highlight w:val="none"/>
          <w:lang w:val="zh-CN" w:eastAsia="zh-CN" w:bidi="ar-SA"/>
        </w:rPr>
        <w:t>集中建设区</w:t>
      </w:r>
      <w:r>
        <w:rPr>
          <w:rFonts w:hint="eastAsia" w:ascii="Times New Roman" w:hAnsi="Times New Roman" w:eastAsia="仿宋_GB2312" w:cs="Times New Roman"/>
          <w:b w:val="0"/>
          <w:bCs w:val="0"/>
          <w:color w:val="auto"/>
          <w:kern w:val="0"/>
          <w:sz w:val="32"/>
          <w:szCs w:val="32"/>
          <w:highlight w:val="none"/>
          <w:lang w:val="en-US" w:eastAsia="zh-CN" w:bidi="ar-SA"/>
        </w:rPr>
        <w:t>内</w:t>
      </w:r>
      <w:r>
        <w:rPr>
          <w:rFonts w:hint="default" w:ascii="Times New Roman" w:hAnsi="Times New Roman" w:eastAsia="仿宋_GB2312" w:cs="Times New Roman"/>
          <w:b w:val="0"/>
          <w:bCs w:val="0"/>
          <w:color w:val="auto"/>
          <w:kern w:val="0"/>
          <w:sz w:val="32"/>
          <w:szCs w:val="32"/>
          <w:highlight w:val="none"/>
          <w:lang w:val="zh-CN" w:eastAsia="zh-CN" w:bidi="ar-SA"/>
        </w:rPr>
        <w:t>。</w:t>
      </w:r>
      <w:r>
        <w:rPr>
          <w:rFonts w:hint="eastAsia" w:ascii="Times New Roman" w:hAnsi="Times New Roman" w:eastAsia="仿宋_GB2312" w:cs="Times New Roman"/>
          <w:b w:val="0"/>
          <w:bCs w:val="0"/>
          <w:color w:val="auto"/>
          <w:kern w:val="0"/>
          <w:sz w:val="32"/>
          <w:szCs w:val="32"/>
          <w:highlight w:val="none"/>
          <w:lang w:val="en-US" w:eastAsia="zh-CN" w:bidi="ar-SA"/>
        </w:rPr>
        <w:t>仙游县</w:t>
      </w:r>
      <w:r>
        <w:rPr>
          <w:rFonts w:hint="default" w:ascii="Times New Roman" w:hAnsi="Times New Roman" w:eastAsia="仿宋_GB2312" w:cs="Times New Roman"/>
          <w:b w:val="0"/>
          <w:bCs w:val="0"/>
          <w:color w:val="auto"/>
          <w:kern w:val="0"/>
          <w:sz w:val="32"/>
          <w:szCs w:val="32"/>
          <w:highlight w:val="none"/>
          <w:lang w:val="zh-CN" w:eastAsia="zh-CN" w:bidi="ar-SA"/>
        </w:rPr>
        <w:t>人民政府承诺，本方案获批后，</w:t>
      </w:r>
      <w:r>
        <w:rPr>
          <w:rFonts w:hint="eastAsia" w:ascii="Times New Roman" w:hAnsi="Times New Roman" w:eastAsia="仿宋_GB2312" w:cs="Times New Roman"/>
          <w:b w:val="0"/>
          <w:bCs w:val="0"/>
          <w:color w:val="auto"/>
          <w:kern w:val="0"/>
          <w:sz w:val="32"/>
          <w:szCs w:val="32"/>
          <w:highlight w:val="none"/>
          <w:lang w:val="en-US" w:eastAsia="zh-CN" w:bidi="ar-SA"/>
        </w:rPr>
        <w:t>将</w:t>
      </w:r>
      <w:r>
        <w:rPr>
          <w:rFonts w:hint="default" w:ascii="Times New Roman" w:hAnsi="Times New Roman" w:eastAsia="仿宋_GB2312" w:cs="Times New Roman"/>
          <w:b w:val="0"/>
          <w:bCs w:val="0"/>
          <w:color w:val="auto"/>
          <w:kern w:val="0"/>
          <w:sz w:val="32"/>
          <w:szCs w:val="32"/>
          <w:highlight w:val="none"/>
          <w:lang w:val="zh-CN" w:eastAsia="zh-CN" w:bidi="ar-SA"/>
        </w:rPr>
        <w:t>土地征收成片开发范围统筹纳入</w:t>
      </w:r>
      <w:r>
        <w:rPr>
          <w:rFonts w:hint="eastAsia" w:ascii="Times New Roman" w:hAnsi="Times New Roman" w:eastAsia="仿宋_GB2312" w:cs="Times New Roman"/>
          <w:b w:val="0"/>
          <w:bCs w:val="0"/>
          <w:color w:val="auto"/>
          <w:kern w:val="0"/>
          <w:sz w:val="32"/>
          <w:szCs w:val="32"/>
          <w:highlight w:val="none"/>
          <w:lang w:val="en-US" w:eastAsia="zh-CN" w:bidi="ar-SA"/>
        </w:rPr>
        <w:t>正在编制的</w:t>
      </w:r>
      <w:r>
        <w:rPr>
          <w:rFonts w:hint="default" w:ascii="Times New Roman" w:hAnsi="Times New Roman" w:eastAsia="仿宋_GB2312" w:cs="Times New Roman"/>
          <w:b w:val="0"/>
          <w:bCs w:val="0"/>
          <w:color w:val="auto"/>
          <w:kern w:val="0"/>
          <w:sz w:val="32"/>
          <w:szCs w:val="32"/>
          <w:highlight w:val="none"/>
          <w:lang w:val="zh-CN" w:eastAsia="zh-CN" w:bidi="ar-SA"/>
        </w:rPr>
        <w:t>的国土空间规划及“一张图”，并符合规划管控要求。</w:t>
      </w:r>
    </w:p>
    <w:p>
      <w:pPr>
        <w:pStyle w:val="4"/>
        <w:keepNext/>
        <w:keepLines/>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3" w:firstLineChars="200"/>
        <w:jc w:val="both"/>
        <w:textAlignment w:val="auto"/>
        <w:rPr>
          <w:rFonts w:hint="default" w:ascii="Times New Roman" w:hAnsi="Times New Roman" w:eastAsia="楷体_GB2312" w:cs="Times New Roman"/>
          <w:b/>
          <w:bCs/>
          <w:color w:val="auto"/>
          <w:kern w:val="2"/>
          <w:szCs w:val="32"/>
          <w:highlight w:val="none"/>
          <w:lang w:val="en-US" w:eastAsia="zh-CN" w:bidi="ar-SA"/>
        </w:rPr>
      </w:pPr>
      <w:bookmarkStart w:id="19" w:name="_Toc815"/>
      <w:r>
        <w:rPr>
          <w:rFonts w:hint="default" w:ascii="Times New Roman" w:hAnsi="Times New Roman" w:eastAsia="楷体_GB2312" w:cs="Times New Roman"/>
          <w:b/>
          <w:bCs/>
          <w:color w:val="auto"/>
          <w:kern w:val="2"/>
          <w:szCs w:val="32"/>
          <w:highlight w:val="none"/>
          <w:lang w:val="en-US" w:eastAsia="zh-CN" w:bidi="ar-SA"/>
        </w:rPr>
        <w:t>（二）国民经济和社会发展规划、纳入年度计划</w:t>
      </w:r>
      <w:bookmarkEnd w:id="19"/>
    </w:p>
    <w:p>
      <w:pPr>
        <w:keepNext w:val="0"/>
        <w:keepLines w:val="0"/>
        <w:pageBreakBefore w:val="0"/>
        <w:widowControl/>
        <w:kinsoku/>
        <w:wordWrap/>
        <w:overflowPunct/>
        <w:topLinePunct w:val="0"/>
        <w:autoSpaceDE/>
        <w:autoSpaceDN/>
        <w:bidi w:val="0"/>
        <w:adjustRightInd/>
        <w:snapToGrid w:val="0"/>
        <w:spacing w:before="0" w:after="0" w:line="60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lang w:val="zh-CN" w:eastAsia="zh-CN"/>
        </w:rPr>
      </w:pPr>
      <w:r>
        <w:rPr>
          <w:rFonts w:hint="default" w:ascii="Times New Roman" w:hAnsi="Times New Roman" w:eastAsia="仿宋_GB2312" w:cs="Times New Roman"/>
          <w:b w:val="0"/>
          <w:bCs w:val="0"/>
          <w:color w:val="auto"/>
          <w:kern w:val="0"/>
          <w:sz w:val="32"/>
          <w:szCs w:val="32"/>
          <w:highlight w:val="none"/>
          <w:lang w:val="zh-CN" w:eastAsia="zh-CN" w:bidi="ar-SA"/>
        </w:rPr>
        <w:t>《仙游县国民经济和社会发展第十四个五年规划和二〇三五年远景目标纲要》指出：坚持新兴产业多元化、细分领域高级化，突出链式整合、集群带动、协同发展，重点扶持电子信息、高端装备、新型功能材料等战略性新兴产业，通过建链、延链、补链、强链，推动产业快成长、上规模。本方案契合</w:t>
      </w:r>
      <w:r>
        <w:rPr>
          <w:rFonts w:hint="default" w:ascii="Times New Roman" w:hAnsi="Times New Roman" w:eastAsia="仿宋_GB2312" w:cs="Times New Roman"/>
          <w:b w:val="0"/>
          <w:bCs w:val="0"/>
          <w:color w:val="auto"/>
          <w:kern w:val="0"/>
          <w:sz w:val="32"/>
          <w:szCs w:val="32"/>
          <w:highlight w:val="none"/>
          <w:lang w:val="en-US" w:eastAsia="zh-CN" w:bidi="ar-SA"/>
        </w:rPr>
        <w:t>仙游县</w:t>
      </w:r>
      <w:r>
        <w:rPr>
          <w:rFonts w:hint="default" w:ascii="Times New Roman" w:hAnsi="Times New Roman" w:eastAsia="仿宋_GB2312" w:cs="Times New Roman"/>
          <w:b w:val="0"/>
          <w:bCs w:val="0"/>
          <w:color w:val="auto"/>
          <w:kern w:val="0"/>
          <w:sz w:val="32"/>
          <w:szCs w:val="32"/>
          <w:highlight w:val="none"/>
          <w:lang w:val="zh-CN" w:eastAsia="zh-CN" w:bidi="ar-SA"/>
        </w:rPr>
        <w:t>发展战略，符合</w:t>
      </w:r>
      <w:r>
        <w:rPr>
          <w:rFonts w:hint="default" w:ascii="Times New Roman" w:hAnsi="Times New Roman" w:eastAsia="仿宋_GB2312" w:cs="Times New Roman"/>
          <w:b w:val="0"/>
          <w:bCs w:val="0"/>
          <w:color w:val="auto"/>
          <w:kern w:val="0"/>
          <w:sz w:val="32"/>
          <w:szCs w:val="32"/>
          <w:highlight w:val="none"/>
          <w:lang w:val="en-US" w:eastAsia="zh-CN" w:bidi="ar-SA"/>
        </w:rPr>
        <w:t>仙游</w:t>
      </w:r>
      <w:r>
        <w:rPr>
          <w:rFonts w:hint="default" w:ascii="Times New Roman" w:hAnsi="Times New Roman" w:eastAsia="仿宋_GB2312" w:cs="Times New Roman"/>
          <w:b w:val="0"/>
          <w:bCs w:val="0"/>
          <w:color w:val="auto"/>
          <w:kern w:val="0"/>
          <w:sz w:val="32"/>
          <w:szCs w:val="32"/>
          <w:highlight w:val="none"/>
          <w:lang w:val="zh-CN" w:eastAsia="zh-CN" w:bidi="ar-SA"/>
        </w:rPr>
        <w:t>经济开发区的发展要求，有利于推动区域协同发展。</w:t>
      </w:r>
      <w:r>
        <w:rPr>
          <w:rFonts w:hint="default" w:ascii="Times New Roman" w:hAnsi="Times New Roman" w:eastAsia="仿宋_GB2312" w:cs="Times New Roman"/>
          <w:color w:val="auto"/>
          <w:sz w:val="32"/>
          <w:szCs w:val="32"/>
          <w:highlight w:val="none"/>
          <w:lang w:val="zh-CN" w:eastAsia="zh-CN"/>
        </w:rPr>
        <w:t>同时，本方案</w:t>
      </w:r>
      <w:r>
        <w:rPr>
          <w:rFonts w:hint="default" w:ascii="Times New Roman" w:hAnsi="Times New Roman" w:eastAsia="仿宋_GB2312" w:cs="Times New Roman"/>
          <w:color w:val="auto"/>
          <w:sz w:val="32"/>
          <w:szCs w:val="32"/>
          <w:highlight w:val="none"/>
          <w:lang w:val="en-US" w:eastAsia="zh-CN"/>
        </w:rPr>
        <w:t>已</w:t>
      </w:r>
      <w:r>
        <w:rPr>
          <w:rFonts w:hint="default" w:ascii="Times New Roman" w:hAnsi="Times New Roman" w:eastAsia="仿宋_GB2312" w:cs="Times New Roman"/>
          <w:color w:val="auto"/>
          <w:sz w:val="32"/>
          <w:szCs w:val="32"/>
          <w:highlight w:val="none"/>
          <w:lang w:val="zh-CN" w:eastAsia="zh-CN"/>
        </w:rPr>
        <w:t>纳入</w:t>
      </w:r>
      <w:r>
        <w:rPr>
          <w:rFonts w:hint="default" w:ascii="Times New Roman" w:hAnsi="Times New Roman" w:eastAsia="仿宋_GB2312" w:cs="Times New Roman"/>
          <w:color w:val="auto"/>
          <w:sz w:val="32"/>
          <w:szCs w:val="32"/>
          <w:highlight w:val="none"/>
          <w:lang w:val="en-US" w:eastAsia="zh-CN"/>
        </w:rPr>
        <w:t>仙游县</w:t>
      </w:r>
      <w:r>
        <w:rPr>
          <w:rFonts w:hint="default" w:ascii="Times New Roman" w:hAnsi="Times New Roman" w:eastAsia="仿宋_GB2312" w:cs="Times New Roman"/>
          <w:color w:val="auto"/>
          <w:sz w:val="32"/>
          <w:szCs w:val="32"/>
          <w:highlight w:val="none"/>
          <w:lang w:val="zh-CN" w:eastAsia="zh-CN"/>
        </w:rPr>
        <w:t>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zh-CN" w:eastAsia="zh-CN"/>
        </w:rPr>
        <w:t>年国民经济和社会发展年度计划。</w:t>
      </w:r>
    </w:p>
    <w:p>
      <w:pPr>
        <w:pStyle w:val="4"/>
        <w:keepNext/>
        <w:keepLines/>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3" w:firstLineChars="200"/>
        <w:jc w:val="both"/>
        <w:textAlignment w:val="auto"/>
        <w:rPr>
          <w:rFonts w:hint="default" w:ascii="Times New Roman" w:hAnsi="Times New Roman" w:eastAsia="楷体_GB2312" w:cs="Times New Roman"/>
          <w:b/>
          <w:bCs/>
          <w:color w:val="auto"/>
          <w:kern w:val="2"/>
          <w:szCs w:val="32"/>
          <w:highlight w:val="none"/>
          <w:lang w:val="en-US" w:eastAsia="zh-CN" w:bidi="ar-SA"/>
        </w:rPr>
      </w:pPr>
      <w:bookmarkStart w:id="20" w:name="_Toc21605"/>
      <w:r>
        <w:rPr>
          <w:rFonts w:hint="default" w:ascii="Times New Roman" w:hAnsi="Times New Roman" w:eastAsia="楷体_GB2312" w:cs="Times New Roman"/>
          <w:b/>
          <w:bCs/>
          <w:color w:val="auto"/>
          <w:kern w:val="2"/>
          <w:szCs w:val="32"/>
          <w:highlight w:val="none"/>
          <w:lang w:val="en-US" w:eastAsia="zh-CN" w:bidi="ar-SA"/>
        </w:rPr>
        <w:t>（三）占用永久基本农田和其他法律法规规定不允许占用或开</w:t>
      </w:r>
      <w:r>
        <w:rPr>
          <w:rFonts w:hint="default" w:ascii="Times New Roman" w:hAnsi="Times New Roman" w:eastAsia="楷体_GB2312" w:cs="Times New Roman"/>
          <w:b/>
          <w:bCs/>
          <w:color w:val="auto"/>
          <w:kern w:val="2"/>
          <w:szCs w:val="32"/>
          <w:highlight w:val="none"/>
          <w:lang w:val="zh-CN" w:eastAsia="zh-CN" w:bidi="ar-SA"/>
        </w:rPr>
        <w:t>发的</w:t>
      </w:r>
      <w:bookmarkEnd w:id="20"/>
    </w:p>
    <w:p>
      <w:pPr>
        <w:pStyle w:val="7"/>
        <w:keepNext w:val="0"/>
        <w:keepLines w:val="0"/>
        <w:pageBreakBefore w:val="0"/>
        <w:widowControl w:val="0"/>
        <w:kinsoku/>
        <w:wordWrap/>
        <w:overflowPunct/>
        <w:topLinePunct w:val="0"/>
        <w:autoSpaceDE w:val="0"/>
        <w:autoSpaceDN w:val="0"/>
        <w:bidi w:val="0"/>
        <w:adjustRightInd/>
        <w:snapToGrid w:val="0"/>
        <w:spacing w:before="0" w:beforeAutospacing="0" w:after="0" w:afterLines="0" w:afterAutospacing="0" w:line="600" w:lineRule="exact"/>
        <w:ind w:left="0" w:right="0" w:firstLine="640" w:firstLineChars="200"/>
        <w:jc w:val="both"/>
        <w:textAlignment w:val="baseline"/>
        <w:rPr>
          <w:rFonts w:hint="default" w:ascii="Times New Roman" w:hAnsi="Times New Roman" w:eastAsia="仿宋_GB2312" w:cs="Times New Roman"/>
          <w:b w:val="0"/>
          <w:bCs w:val="0"/>
          <w:i w:val="0"/>
          <w:caps w:val="0"/>
          <w:color w:val="auto"/>
          <w:spacing w:val="0"/>
          <w:w w:val="100"/>
          <w:kern w:val="2"/>
          <w:sz w:val="32"/>
          <w:szCs w:val="32"/>
          <w:highlight w:val="none"/>
          <w:lang w:val="en-US" w:eastAsia="zh-CN" w:bidi="ar-SA"/>
        </w:rPr>
        <w:sectPr>
          <w:pgSz w:w="11905" w:h="16838"/>
          <w:pgMar w:top="2098" w:right="1474" w:bottom="1984" w:left="1587" w:header="850" w:footer="992" w:gutter="0"/>
          <w:pgBorders>
            <w:top w:val="none" w:sz="0" w:space="0"/>
            <w:left w:val="none" w:sz="0" w:space="0"/>
            <w:bottom w:val="none" w:sz="0" w:space="0"/>
            <w:right w:val="none" w:sz="0" w:space="0"/>
          </w:pgBorders>
          <w:pgNumType w:fmt="decimal"/>
          <w:cols w:space="0" w:num="1"/>
          <w:rtlGutter w:val="0"/>
          <w:docGrid w:type="lines" w:linePitch="327" w:charSpace="0"/>
        </w:sectPr>
      </w:pPr>
      <w:r>
        <w:rPr>
          <w:rFonts w:hint="default" w:ascii="Times New Roman" w:hAnsi="Times New Roman" w:eastAsia="仿宋_GB2312" w:cs="Times New Roman"/>
          <w:b w:val="0"/>
          <w:bCs w:val="0"/>
          <w:color w:val="auto"/>
          <w:kern w:val="0"/>
          <w:sz w:val="32"/>
          <w:szCs w:val="32"/>
          <w:highlight w:val="none"/>
          <w:lang w:val="en-US" w:eastAsia="zh-CN" w:bidi="ar"/>
        </w:rPr>
        <w:t>本方案未占用永久基本农田，不涉及历史文化名城名镇名村传统村落和文物建筑历史建筑传统风貌建筑，</w:t>
      </w:r>
      <w:r>
        <w:rPr>
          <w:rFonts w:hint="eastAsia" w:ascii="Times New Roman" w:hAnsi="Times New Roman" w:eastAsia="仿宋_GB2312" w:cs="Times New Roman"/>
          <w:b w:val="0"/>
          <w:bCs w:val="0"/>
          <w:color w:val="auto"/>
          <w:kern w:val="0"/>
          <w:sz w:val="32"/>
          <w:szCs w:val="32"/>
          <w:highlight w:val="none"/>
          <w:lang w:val="en-US" w:eastAsia="zh-CN" w:bidi="ar"/>
        </w:rPr>
        <w:t>不涉及</w:t>
      </w:r>
      <w:r>
        <w:rPr>
          <w:rFonts w:hint="default" w:ascii="Times New Roman" w:hAnsi="Times New Roman" w:eastAsia="仿宋_GB2312" w:cs="Times New Roman"/>
          <w:b w:val="0"/>
          <w:bCs w:val="0"/>
          <w:color w:val="auto"/>
          <w:kern w:val="0"/>
          <w:sz w:val="32"/>
          <w:szCs w:val="32"/>
          <w:highlight w:val="none"/>
          <w:lang w:val="en-US" w:eastAsia="zh-CN" w:bidi="ar"/>
        </w:rPr>
        <w:t>50年以上建筑</w:t>
      </w:r>
      <w:r>
        <w:rPr>
          <w:rFonts w:hint="eastAsia" w:ascii="Times New Roman" w:hAnsi="Times New Roman" w:eastAsia="仿宋_GB2312" w:cs="Times New Roman"/>
          <w:b w:val="0"/>
          <w:bCs w:val="0"/>
          <w:color w:val="auto"/>
          <w:kern w:val="0"/>
          <w:sz w:val="32"/>
          <w:szCs w:val="32"/>
          <w:highlight w:val="none"/>
          <w:lang w:val="en-US" w:eastAsia="zh-CN" w:bidi="ar"/>
        </w:rPr>
        <w:t>，</w:t>
      </w:r>
      <w:r>
        <w:rPr>
          <w:rFonts w:hint="default" w:ascii="Times New Roman" w:hAnsi="Times New Roman" w:eastAsia="仿宋_GB2312" w:cs="Times New Roman"/>
          <w:b w:val="0"/>
          <w:bCs w:val="0"/>
          <w:color w:val="auto"/>
          <w:kern w:val="0"/>
          <w:sz w:val="32"/>
          <w:szCs w:val="32"/>
          <w:highlight w:val="none"/>
          <w:lang w:val="en-US" w:eastAsia="zh-CN" w:bidi="ar"/>
        </w:rPr>
        <w:t>不涉及文物点，不涉及自然保护区、森林公园、湿地公园、重要湿地、风景名胜区、 饮用水源保护区、海岸线、生态红线等其他法律法规规定不允许占用或开发的区域</w:t>
      </w:r>
      <w:r>
        <w:rPr>
          <w:rFonts w:hint="default" w:ascii="Times New Roman" w:hAnsi="Times New Roman" w:eastAsia="仿宋_GB2312" w:cs="Times New Roman"/>
          <w:b w:val="0"/>
          <w:bCs w:val="0"/>
          <w:color w:val="auto"/>
          <w:kern w:val="0"/>
          <w:sz w:val="32"/>
          <w:szCs w:val="32"/>
          <w:highlight w:val="none"/>
          <w:lang w:bidi="ar"/>
        </w:rPr>
        <w:t>。</w:t>
      </w:r>
    </w:p>
    <w:p>
      <w:pPr>
        <w:pStyle w:val="3"/>
        <w:keepNext/>
        <w:keepLines/>
        <w:pageBreakBefore w:val="0"/>
        <w:widowControl w:val="0"/>
        <w:numPr>
          <w:ilvl w:val="0"/>
          <w:numId w:val="1"/>
        </w:numPr>
        <w:kinsoku/>
        <w:wordWrap/>
        <w:overflowPunct/>
        <w:topLinePunct w:val="0"/>
        <w:autoSpaceDE/>
        <w:autoSpaceDN/>
        <w:bidi w:val="0"/>
        <w:adjustRightInd/>
        <w:snapToGrid/>
        <w:spacing w:before="157" w:beforeLines="50" w:after="157" w:afterLines="50" w:line="600" w:lineRule="exact"/>
        <w:ind w:left="0" w:leftChars="0" w:right="0" w:firstLine="420" w:firstLineChars="0"/>
        <w:jc w:val="left"/>
        <w:textAlignment w:val="auto"/>
        <w:rPr>
          <w:rFonts w:hint="default" w:ascii="Times New Roman" w:hAnsi="Times New Roman" w:eastAsia="黑体" w:cs="Times New Roman"/>
          <w:b w:val="0"/>
          <w:bCs w:val="0"/>
          <w:color w:val="auto"/>
          <w:kern w:val="44"/>
          <w:szCs w:val="44"/>
          <w:highlight w:val="none"/>
          <w:lang w:val="en-US" w:bidi="ar-SA"/>
        </w:rPr>
      </w:pPr>
      <w:bookmarkStart w:id="21" w:name="_bookmark20"/>
      <w:bookmarkEnd w:id="21"/>
      <w:bookmarkStart w:id="22" w:name="_bookmark19"/>
      <w:bookmarkEnd w:id="22"/>
      <w:bookmarkStart w:id="23" w:name="_Toc27732"/>
      <w:r>
        <w:rPr>
          <w:rFonts w:hint="default" w:ascii="Times New Roman" w:hAnsi="Times New Roman" w:eastAsia="黑体" w:cs="Times New Roman"/>
          <w:b w:val="0"/>
          <w:bCs w:val="0"/>
          <w:color w:val="auto"/>
          <w:kern w:val="44"/>
          <w:szCs w:val="44"/>
          <w:highlight w:val="none"/>
          <w:lang w:val="en-US" w:bidi="ar-SA"/>
        </w:rPr>
        <w:t>效益评估</w:t>
      </w:r>
      <w:bookmarkEnd w:id="23"/>
    </w:p>
    <w:p>
      <w:pPr>
        <w:pStyle w:val="4"/>
        <w:keepNext/>
        <w:keepLines/>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3" w:firstLineChars="200"/>
        <w:jc w:val="both"/>
        <w:textAlignment w:val="auto"/>
        <w:rPr>
          <w:rFonts w:hint="default" w:ascii="Times New Roman" w:hAnsi="Times New Roman" w:eastAsia="楷体_GB2312" w:cs="Times New Roman"/>
          <w:b/>
          <w:bCs/>
          <w:i w:val="0"/>
          <w:caps w:val="0"/>
          <w:color w:val="auto"/>
          <w:spacing w:val="0"/>
          <w:w w:val="100"/>
          <w:sz w:val="32"/>
          <w:highlight w:val="none"/>
        </w:rPr>
      </w:pPr>
      <w:bookmarkStart w:id="24" w:name="_Toc6852"/>
      <w:r>
        <w:rPr>
          <w:rFonts w:hint="default" w:ascii="Times New Roman" w:hAnsi="Times New Roman" w:eastAsia="楷体_GB2312" w:cs="Times New Roman"/>
          <w:b/>
          <w:bCs/>
          <w:i w:val="0"/>
          <w:caps w:val="0"/>
          <w:color w:val="auto"/>
          <w:spacing w:val="0"/>
          <w:w w:val="100"/>
          <w:sz w:val="32"/>
          <w:highlight w:val="none"/>
          <w:lang w:eastAsia="zh-CN"/>
        </w:rPr>
        <w:t>（</w:t>
      </w:r>
      <w:r>
        <w:rPr>
          <w:rFonts w:hint="default" w:ascii="Times New Roman" w:hAnsi="Times New Roman" w:eastAsia="楷体_GB2312" w:cs="Times New Roman"/>
          <w:b/>
          <w:bCs/>
          <w:i w:val="0"/>
          <w:caps w:val="0"/>
          <w:color w:val="auto"/>
          <w:spacing w:val="0"/>
          <w:w w:val="100"/>
          <w:sz w:val="32"/>
          <w:highlight w:val="none"/>
          <w:lang w:val="en-US" w:eastAsia="zh-CN"/>
        </w:rPr>
        <w:t>一</w:t>
      </w:r>
      <w:r>
        <w:rPr>
          <w:rFonts w:hint="default" w:ascii="Times New Roman" w:hAnsi="Times New Roman" w:eastAsia="楷体_GB2312" w:cs="Times New Roman"/>
          <w:b/>
          <w:bCs/>
          <w:i w:val="0"/>
          <w:caps w:val="0"/>
          <w:color w:val="auto"/>
          <w:spacing w:val="0"/>
          <w:w w:val="100"/>
          <w:sz w:val="32"/>
          <w:highlight w:val="none"/>
          <w:lang w:eastAsia="zh-CN"/>
        </w:rPr>
        <w:t>）</w:t>
      </w:r>
      <w:r>
        <w:rPr>
          <w:rFonts w:hint="default" w:ascii="Times New Roman" w:hAnsi="Times New Roman" w:eastAsia="楷体_GB2312" w:cs="Times New Roman"/>
          <w:b/>
          <w:bCs/>
          <w:i w:val="0"/>
          <w:caps w:val="0"/>
          <w:color w:val="auto"/>
          <w:spacing w:val="0"/>
          <w:w w:val="100"/>
          <w:sz w:val="32"/>
          <w:highlight w:val="none"/>
        </w:rPr>
        <w:t>土地利用效益</w:t>
      </w:r>
      <w:bookmarkEnd w:id="24"/>
    </w:p>
    <w:p>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本方案通过合理安排用地规模、结构和布局，有效利用废弃矿区进行开发</w:t>
      </w:r>
      <w:r>
        <w:rPr>
          <w:rFonts w:hint="eastAsia" w:ascii="Times New Roman" w:hAnsi="Times New Roman" w:eastAsia="仿宋_GB2312" w:cs="Times New Roman"/>
          <w:b w:val="0"/>
          <w:bCs w:val="0"/>
          <w:color w:val="auto"/>
          <w:kern w:val="2"/>
          <w:sz w:val="32"/>
          <w:szCs w:val="32"/>
          <w:highlight w:val="none"/>
          <w:lang w:val="en-US" w:eastAsia="zh-CN" w:bidi="ar-SA"/>
        </w:rPr>
        <w:t>建设</w:t>
      </w:r>
      <w:r>
        <w:rPr>
          <w:rFonts w:hint="default" w:ascii="Times New Roman" w:hAnsi="Times New Roman" w:eastAsia="仿宋_GB2312" w:cs="Times New Roman"/>
          <w:b w:val="0"/>
          <w:bCs w:val="0"/>
          <w:color w:val="auto"/>
          <w:kern w:val="2"/>
          <w:sz w:val="32"/>
          <w:szCs w:val="32"/>
          <w:highlight w:val="none"/>
          <w:lang w:val="en-US" w:eastAsia="zh-CN" w:bidi="ar-SA"/>
        </w:rPr>
        <w:t>，因地制宜配置用地，节约用地，提高现有用地使用效益，实现土地的集约节约利用。本次成片开发项目建成投入使用后地均收入可有效提高，并提高当地税收，土地利用效益较好。本方案占地面积</w:t>
      </w:r>
      <w:r>
        <w:rPr>
          <w:rFonts w:hint="eastAsia" w:ascii="Times New Roman" w:hAnsi="Times New Roman" w:eastAsia="仿宋_GB2312" w:cs="Times New Roman"/>
          <w:b w:val="0"/>
          <w:bCs w:val="0"/>
          <w:color w:val="auto"/>
          <w:kern w:val="2"/>
          <w:sz w:val="32"/>
          <w:szCs w:val="32"/>
          <w:highlight w:val="none"/>
          <w:lang w:val="en-US" w:eastAsia="zh-CN" w:bidi="ar-SA"/>
        </w:rPr>
        <w:t>9.1952</w:t>
      </w:r>
      <w:r>
        <w:rPr>
          <w:rFonts w:hint="default" w:ascii="Times New Roman" w:hAnsi="Times New Roman" w:eastAsia="仿宋_GB2312" w:cs="Times New Roman"/>
          <w:b w:val="0"/>
          <w:bCs w:val="0"/>
          <w:color w:val="auto"/>
          <w:kern w:val="2"/>
          <w:sz w:val="32"/>
          <w:szCs w:val="32"/>
          <w:highlight w:val="none"/>
          <w:lang w:val="en-US" w:eastAsia="zh-CN" w:bidi="ar-SA"/>
        </w:rPr>
        <w:t>公顷，工业用地容积率不低于1.1，</w:t>
      </w:r>
      <w:r>
        <w:rPr>
          <w:rFonts w:hint="eastAsia" w:ascii="Times New Roman" w:hAnsi="Times New Roman" w:eastAsia="仿宋_GB2312" w:cs="Times New Roman"/>
          <w:b w:val="0"/>
          <w:bCs w:val="0"/>
          <w:color w:val="auto"/>
          <w:kern w:val="2"/>
          <w:sz w:val="32"/>
          <w:szCs w:val="32"/>
          <w:highlight w:val="none"/>
          <w:lang w:val="en-US" w:eastAsia="zh-CN" w:bidi="ar-SA"/>
        </w:rPr>
        <w:t>建筑系数不低于40%，</w:t>
      </w:r>
      <w:r>
        <w:rPr>
          <w:rFonts w:hint="default" w:ascii="Times New Roman" w:hAnsi="Times New Roman" w:eastAsia="仿宋_GB2312" w:cs="Times New Roman"/>
          <w:b w:val="0"/>
          <w:bCs w:val="0"/>
          <w:color w:val="auto"/>
          <w:kern w:val="2"/>
          <w:sz w:val="32"/>
          <w:szCs w:val="32"/>
          <w:highlight w:val="none"/>
          <w:lang w:val="en-US" w:eastAsia="zh-CN" w:bidi="ar-SA"/>
        </w:rPr>
        <w:t>符合相关规定。项目开发建设能实现土地利用由粗放型向集约型转变，有利于优化建设用地空间布局，项目建成后与周边其他工业组团紧密衔接，充分发挥工业集聚效益。</w:t>
      </w:r>
    </w:p>
    <w:p>
      <w:pPr>
        <w:pStyle w:val="4"/>
        <w:keepNext/>
        <w:keepLines/>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3" w:firstLineChars="200"/>
        <w:jc w:val="both"/>
        <w:textAlignment w:val="auto"/>
        <w:rPr>
          <w:rFonts w:hint="default" w:ascii="Times New Roman" w:hAnsi="Times New Roman" w:eastAsia="楷体_GB2312" w:cs="Times New Roman"/>
          <w:b/>
          <w:bCs/>
          <w:i w:val="0"/>
          <w:caps w:val="0"/>
          <w:color w:val="auto"/>
          <w:spacing w:val="0"/>
          <w:w w:val="100"/>
          <w:sz w:val="32"/>
          <w:highlight w:val="none"/>
        </w:rPr>
      </w:pPr>
      <w:bookmarkStart w:id="25" w:name="_Toc8688"/>
      <w:r>
        <w:rPr>
          <w:rFonts w:hint="default" w:ascii="Times New Roman" w:hAnsi="Times New Roman" w:eastAsia="楷体_GB2312" w:cs="Times New Roman"/>
          <w:b/>
          <w:bCs/>
          <w:i w:val="0"/>
          <w:caps w:val="0"/>
          <w:color w:val="auto"/>
          <w:spacing w:val="0"/>
          <w:w w:val="100"/>
          <w:sz w:val="32"/>
          <w:highlight w:val="none"/>
          <w:lang w:eastAsia="zh-CN"/>
        </w:rPr>
        <w:t>（</w:t>
      </w:r>
      <w:r>
        <w:rPr>
          <w:rFonts w:hint="default" w:ascii="Times New Roman" w:hAnsi="Times New Roman" w:eastAsia="楷体_GB2312" w:cs="Times New Roman"/>
          <w:b/>
          <w:bCs/>
          <w:i w:val="0"/>
          <w:caps w:val="0"/>
          <w:color w:val="auto"/>
          <w:spacing w:val="0"/>
          <w:w w:val="100"/>
          <w:sz w:val="32"/>
          <w:highlight w:val="none"/>
          <w:lang w:val="en-US" w:eastAsia="zh-CN"/>
        </w:rPr>
        <w:t>二</w:t>
      </w:r>
      <w:r>
        <w:rPr>
          <w:rFonts w:hint="default" w:ascii="Times New Roman" w:hAnsi="Times New Roman" w:eastAsia="楷体_GB2312" w:cs="Times New Roman"/>
          <w:b/>
          <w:bCs/>
          <w:i w:val="0"/>
          <w:caps w:val="0"/>
          <w:color w:val="auto"/>
          <w:spacing w:val="0"/>
          <w:w w:val="100"/>
          <w:sz w:val="32"/>
          <w:highlight w:val="none"/>
          <w:lang w:eastAsia="zh-CN"/>
        </w:rPr>
        <w:t>）</w:t>
      </w:r>
      <w:r>
        <w:rPr>
          <w:rFonts w:hint="default" w:ascii="Times New Roman" w:hAnsi="Times New Roman" w:eastAsia="楷体_GB2312" w:cs="Times New Roman"/>
          <w:b/>
          <w:bCs/>
          <w:i w:val="0"/>
          <w:caps w:val="0"/>
          <w:color w:val="auto"/>
          <w:spacing w:val="0"/>
          <w:w w:val="100"/>
          <w:sz w:val="32"/>
          <w:highlight w:val="none"/>
        </w:rPr>
        <w:t>经济效益</w:t>
      </w:r>
      <w:bookmarkEnd w:id="25"/>
    </w:p>
    <w:p>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本方案实施后</w:t>
      </w:r>
      <w:r>
        <w:rPr>
          <w:rFonts w:hint="default" w:ascii="Times New Roman" w:hAnsi="Times New Roman" w:eastAsia="仿宋_GB2312" w:cs="Times New Roman"/>
          <w:b w:val="0"/>
          <w:bCs w:val="0"/>
          <w:color w:val="auto"/>
          <w:kern w:val="2"/>
          <w:sz w:val="32"/>
          <w:szCs w:val="32"/>
          <w:highlight w:val="none"/>
          <w:lang w:val="en-US" w:bidi="ar-SA"/>
        </w:rPr>
        <w:t>，</w:t>
      </w:r>
      <w:r>
        <w:rPr>
          <w:rFonts w:hint="default" w:ascii="Times New Roman" w:hAnsi="Times New Roman" w:eastAsia="仿宋_GB2312" w:cs="Times New Roman"/>
          <w:b w:val="0"/>
          <w:bCs w:val="0"/>
          <w:color w:val="auto"/>
          <w:kern w:val="2"/>
          <w:sz w:val="32"/>
          <w:szCs w:val="32"/>
          <w:highlight w:val="none"/>
          <w:lang w:val="en-US" w:eastAsia="zh-CN" w:bidi="ar-SA"/>
        </w:rPr>
        <w:t>仙游县企业创新能力得以提升，</w:t>
      </w:r>
      <w:r>
        <w:rPr>
          <w:rFonts w:hint="default" w:ascii="Times New Roman" w:hAnsi="Times New Roman" w:eastAsia="仿宋_GB2312" w:cs="Times New Roman"/>
          <w:b w:val="0"/>
          <w:bCs w:val="0"/>
          <w:color w:val="auto"/>
          <w:kern w:val="2"/>
          <w:sz w:val="32"/>
          <w:szCs w:val="32"/>
          <w:highlight w:val="none"/>
          <w:lang w:val="en-US" w:bidi="ar-SA"/>
        </w:rPr>
        <w:t>生产力水平提高，工业经济发展提质增效</w:t>
      </w:r>
      <w:r>
        <w:rPr>
          <w:rFonts w:hint="default" w:ascii="Times New Roman" w:hAnsi="Times New Roman" w:eastAsia="仿宋_GB2312" w:cs="Times New Roman"/>
          <w:b w:val="0"/>
          <w:bCs w:val="0"/>
          <w:color w:val="auto"/>
          <w:kern w:val="2"/>
          <w:sz w:val="32"/>
          <w:szCs w:val="32"/>
          <w:highlight w:val="none"/>
          <w:lang w:val="en-US" w:eastAsia="zh-CN" w:bidi="ar-SA"/>
        </w:rPr>
        <w:t>。工业用地</w:t>
      </w:r>
      <w:r>
        <w:rPr>
          <w:rFonts w:hint="default" w:ascii="Times New Roman" w:hAnsi="Times New Roman" w:eastAsia="仿宋_GB2312" w:cs="Times New Roman"/>
          <w:b w:val="0"/>
          <w:bCs w:val="0"/>
          <w:color w:val="auto"/>
          <w:kern w:val="2"/>
          <w:sz w:val="32"/>
          <w:szCs w:val="32"/>
          <w:highlight w:val="none"/>
          <w:lang w:val="en-US" w:bidi="ar-SA"/>
        </w:rPr>
        <w:t>占地面积</w:t>
      </w:r>
      <w:r>
        <w:rPr>
          <w:rFonts w:hint="eastAsia" w:ascii="Times New Roman" w:hAnsi="Times New Roman" w:eastAsia="仿宋_GB2312" w:cs="Times New Roman"/>
          <w:b w:val="0"/>
          <w:bCs w:val="0"/>
          <w:color w:val="auto"/>
          <w:kern w:val="2"/>
          <w:sz w:val="32"/>
          <w:szCs w:val="32"/>
          <w:highlight w:val="none"/>
          <w:lang w:val="en-US" w:eastAsia="zh-CN" w:bidi="ar-SA"/>
        </w:rPr>
        <w:t>4.9511</w:t>
      </w:r>
      <w:r>
        <w:rPr>
          <w:rFonts w:hint="default" w:ascii="Times New Roman" w:hAnsi="Times New Roman" w:eastAsia="仿宋_GB2312" w:cs="Times New Roman"/>
          <w:b w:val="0"/>
          <w:bCs w:val="0"/>
          <w:color w:val="auto"/>
          <w:kern w:val="2"/>
          <w:sz w:val="32"/>
          <w:szCs w:val="32"/>
          <w:highlight w:val="none"/>
          <w:lang w:val="en-US" w:bidi="ar-SA"/>
        </w:rPr>
        <w:t>公顷</w:t>
      </w:r>
      <w:r>
        <w:rPr>
          <w:rFonts w:hint="default" w:ascii="Times New Roman" w:hAnsi="Times New Roman"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bidi="ar-SA"/>
        </w:rPr>
        <w:t>为地方财政做出突出贡献，财政收入的增加，有利于当地政府持续推进经济建设，创造更大的经济效益</w:t>
      </w:r>
      <w:r>
        <w:rPr>
          <w:rFonts w:hint="default" w:ascii="Times New Roman" w:hAnsi="Times New Roman" w:eastAsia="仿宋_GB2312" w:cs="Times New Roman"/>
          <w:b w:val="0"/>
          <w:bCs w:val="0"/>
          <w:color w:val="auto"/>
          <w:kern w:val="2"/>
          <w:sz w:val="32"/>
          <w:szCs w:val="32"/>
          <w:highlight w:val="none"/>
          <w:lang w:val="en-US" w:eastAsia="zh-CN" w:bidi="ar-SA"/>
        </w:rPr>
        <w:t>。</w:t>
      </w:r>
    </w:p>
    <w:p>
      <w:pPr>
        <w:pStyle w:val="4"/>
        <w:keepNext/>
        <w:keepLines/>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3" w:firstLineChars="200"/>
        <w:jc w:val="both"/>
        <w:textAlignment w:val="auto"/>
        <w:rPr>
          <w:rFonts w:hint="default" w:ascii="Times New Roman" w:hAnsi="Times New Roman" w:eastAsia="楷体_GB2312" w:cs="Times New Roman"/>
          <w:b/>
          <w:bCs/>
          <w:i w:val="0"/>
          <w:caps w:val="0"/>
          <w:color w:val="auto"/>
          <w:spacing w:val="0"/>
          <w:w w:val="100"/>
          <w:sz w:val="32"/>
          <w:highlight w:val="none"/>
        </w:rPr>
      </w:pPr>
      <w:bookmarkStart w:id="26" w:name="_Toc13668"/>
      <w:r>
        <w:rPr>
          <w:rFonts w:hint="default" w:ascii="Times New Roman" w:hAnsi="Times New Roman" w:eastAsia="楷体_GB2312" w:cs="Times New Roman"/>
          <w:b/>
          <w:bCs/>
          <w:i w:val="0"/>
          <w:caps w:val="0"/>
          <w:color w:val="auto"/>
          <w:spacing w:val="0"/>
          <w:w w:val="100"/>
          <w:sz w:val="32"/>
          <w:highlight w:val="none"/>
          <w:lang w:eastAsia="zh-CN"/>
        </w:rPr>
        <w:t>（</w:t>
      </w:r>
      <w:r>
        <w:rPr>
          <w:rFonts w:hint="default" w:ascii="Times New Roman" w:hAnsi="Times New Roman" w:eastAsia="楷体_GB2312" w:cs="Times New Roman"/>
          <w:b/>
          <w:bCs/>
          <w:i w:val="0"/>
          <w:caps w:val="0"/>
          <w:color w:val="auto"/>
          <w:spacing w:val="0"/>
          <w:w w:val="100"/>
          <w:sz w:val="32"/>
          <w:highlight w:val="none"/>
          <w:lang w:val="en-US" w:eastAsia="zh-CN"/>
        </w:rPr>
        <w:t>三</w:t>
      </w:r>
      <w:r>
        <w:rPr>
          <w:rFonts w:hint="default" w:ascii="Times New Roman" w:hAnsi="Times New Roman" w:eastAsia="楷体_GB2312" w:cs="Times New Roman"/>
          <w:b/>
          <w:bCs/>
          <w:i w:val="0"/>
          <w:caps w:val="0"/>
          <w:color w:val="auto"/>
          <w:spacing w:val="0"/>
          <w:w w:val="100"/>
          <w:sz w:val="32"/>
          <w:highlight w:val="none"/>
          <w:lang w:eastAsia="zh-CN"/>
        </w:rPr>
        <w:t>）</w:t>
      </w:r>
      <w:r>
        <w:rPr>
          <w:rFonts w:hint="default" w:ascii="Times New Roman" w:hAnsi="Times New Roman" w:eastAsia="楷体_GB2312" w:cs="Times New Roman"/>
          <w:b/>
          <w:bCs/>
          <w:i w:val="0"/>
          <w:caps w:val="0"/>
          <w:color w:val="auto"/>
          <w:spacing w:val="0"/>
          <w:w w:val="100"/>
          <w:sz w:val="32"/>
          <w:highlight w:val="none"/>
        </w:rPr>
        <w:t>社会效益</w:t>
      </w:r>
      <w:bookmarkEnd w:id="26"/>
    </w:p>
    <w:p>
      <w:pPr>
        <w:pStyle w:val="2"/>
        <w:jc w:val="both"/>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本方案的建设有利于调整产业结构，带动高端装产业的发展，</w:t>
      </w:r>
      <w:r>
        <w:rPr>
          <w:rFonts w:hint="eastAsia" w:ascii="Times New Roman" w:hAnsi="Times New Roman" w:eastAsia="仿宋_GB2312" w:cs="Times New Roman"/>
          <w:b w:val="0"/>
          <w:bCs w:val="0"/>
          <w:color w:val="auto"/>
          <w:kern w:val="2"/>
          <w:sz w:val="32"/>
          <w:szCs w:val="32"/>
          <w:highlight w:val="none"/>
          <w:lang w:val="en-US" w:eastAsia="zh-CN" w:bidi="ar-SA"/>
        </w:rPr>
        <w:t>可提供就业岗位约360个，</w:t>
      </w:r>
      <w:r>
        <w:rPr>
          <w:rFonts w:hint="default" w:ascii="Times New Roman" w:hAnsi="Times New Roman" w:eastAsia="仿宋_GB2312" w:cs="Times New Roman"/>
          <w:b w:val="0"/>
          <w:bCs w:val="0"/>
          <w:color w:val="auto"/>
          <w:kern w:val="2"/>
          <w:sz w:val="32"/>
          <w:szCs w:val="32"/>
          <w:highlight w:val="none"/>
          <w:lang w:val="en-US" w:eastAsia="zh-CN" w:bidi="ar-SA"/>
        </w:rPr>
        <w:t>吸引就近人才就业，吸引更多的人才回乡就业，充实产业人才队伍，提高地区人民的收入，促进产业健康快速发展。本方案的实施将促进与周边地区的融合发展，将创造更多就业岗位，同时还将改善区域及地方面貌，提高城镇化建设水平，增进人民的幸福感</w:t>
      </w:r>
      <w:r>
        <w:rPr>
          <w:rFonts w:hint="eastAsia" w:ascii="Times New Roman" w:hAnsi="Times New Roman" w:eastAsia="仿宋_GB2312" w:cs="Times New Roman"/>
          <w:b w:val="0"/>
          <w:bCs w:val="0"/>
          <w:color w:val="auto"/>
          <w:kern w:val="2"/>
          <w:sz w:val="32"/>
          <w:szCs w:val="32"/>
          <w:highlight w:val="none"/>
          <w:lang w:val="en-US" w:eastAsia="zh-CN" w:bidi="ar-SA"/>
        </w:rPr>
        <w:t>。</w:t>
      </w:r>
    </w:p>
    <w:p>
      <w:pPr>
        <w:pStyle w:val="4"/>
        <w:keepNext/>
        <w:keepLines/>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3" w:firstLineChars="200"/>
        <w:jc w:val="both"/>
        <w:textAlignment w:val="auto"/>
        <w:rPr>
          <w:rFonts w:hint="default" w:ascii="Times New Roman" w:hAnsi="Times New Roman" w:eastAsia="楷体_GB2312" w:cs="Times New Roman"/>
          <w:b/>
          <w:bCs/>
          <w:i w:val="0"/>
          <w:caps w:val="0"/>
          <w:color w:val="auto"/>
          <w:spacing w:val="0"/>
          <w:w w:val="100"/>
          <w:sz w:val="32"/>
          <w:highlight w:val="none"/>
        </w:rPr>
      </w:pPr>
      <w:bookmarkStart w:id="27" w:name="_Toc7889"/>
      <w:r>
        <w:rPr>
          <w:rFonts w:hint="default" w:ascii="Times New Roman" w:hAnsi="Times New Roman" w:eastAsia="楷体_GB2312" w:cs="Times New Roman"/>
          <w:b/>
          <w:bCs/>
          <w:i w:val="0"/>
          <w:caps w:val="0"/>
          <w:color w:val="auto"/>
          <w:spacing w:val="0"/>
          <w:w w:val="100"/>
          <w:sz w:val="32"/>
          <w:highlight w:val="none"/>
          <w:lang w:eastAsia="zh-CN"/>
        </w:rPr>
        <w:t>（</w:t>
      </w:r>
      <w:r>
        <w:rPr>
          <w:rFonts w:hint="default" w:ascii="Times New Roman" w:hAnsi="Times New Roman" w:eastAsia="楷体_GB2312" w:cs="Times New Roman"/>
          <w:b/>
          <w:bCs/>
          <w:i w:val="0"/>
          <w:caps w:val="0"/>
          <w:color w:val="auto"/>
          <w:spacing w:val="0"/>
          <w:w w:val="100"/>
          <w:sz w:val="32"/>
          <w:highlight w:val="none"/>
          <w:lang w:val="en-US" w:eastAsia="zh-CN"/>
        </w:rPr>
        <w:t>四</w:t>
      </w:r>
      <w:r>
        <w:rPr>
          <w:rFonts w:hint="default" w:ascii="Times New Roman" w:hAnsi="Times New Roman" w:eastAsia="楷体_GB2312" w:cs="Times New Roman"/>
          <w:b/>
          <w:bCs/>
          <w:i w:val="0"/>
          <w:caps w:val="0"/>
          <w:color w:val="auto"/>
          <w:spacing w:val="0"/>
          <w:w w:val="100"/>
          <w:sz w:val="32"/>
          <w:highlight w:val="none"/>
          <w:lang w:eastAsia="zh-CN"/>
        </w:rPr>
        <w:t>）</w:t>
      </w:r>
      <w:r>
        <w:rPr>
          <w:rFonts w:hint="default" w:ascii="Times New Roman" w:hAnsi="Times New Roman" w:eastAsia="楷体_GB2312" w:cs="Times New Roman"/>
          <w:b/>
          <w:bCs/>
          <w:i w:val="0"/>
          <w:caps w:val="0"/>
          <w:color w:val="auto"/>
          <w:spacing w:val="0"/>
          <w:w w:val="100"/>
          <w:sz w:val="32"/>
          <w:highlight w:val="none"/>
        </w:rPr>
        <w:t>生态效益</w:t>
      </w:r>
      <w:bookmarkEnd w:id="27"/>
    </w:p>
    <w:p>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 xml:space="preserve">本方案土地征收成片开发范围内，绿地与开敞空间用地面积为 </w:t>
      </w:r>
      <w:r>
        <w:rPr>
          <w:rFonts w:hint="eastAsia" w:ascii="Times New Roman" w:hAnsi="Times New Roman" w:eastAsia="仿宋_GB2312" w:cs="Times New Roman"/>
          <w:b w:val="0"/>
          <w:bCs w:val="0"/>
          <w:color w:val="auto"/>
          <w:kern w:val="2"/>
          <w:sz w:val="32"/>
          <w:szCs w:val="32"/>
          <w:highlight w:val="none"/>
          <w:lang w:val="en-US" w:eastAsia="zh-CN" w:bidi="ar-SA"/>
        </w:rPr>
        <w:t>4.2441</w:t>
      </w:r>
      <w:r>
        <w:rPr>
          <w:rFonts w:hint="default" w:ascii="Times New Roman" w:hAnsi="Times New Roman" w:eastAsia="仿宋_GB2312" w:cs="Times New Roman"/>
          <w:b w:val="0"/>
          <w:bCs w:val="0"/>
          <w:color w:val="auto"/>
          <w:kern w:val="2"/>
          <w:sz w:val="32"/>
          <w:szCs w:val="32"/>
          <w:highlight w:val="none"/>
          <w:lang w:val="en-US" w:eastAsia="zh-CN" w:bidi="ar-SA"/>
        </w:rPr>
        <w:t xml:space="preserve"> 公顷，占方案范围总面积比例达</w:t>
      </w:r>
      <w:r>
        <w:rPr>
          <w:rFonts w:hint="eastAsia" w:ascii="Times New Roman" w:hAnsi="Times New Roman" w:eastAsia="仿宋_GB2312" w:cs="Times New Roman"/>
          <w:b w:val="0"/>
          <w:bCs w:val="0"/>
          <w:color w:val="auto"/>
          <w:kern w:val="2"/>
          <w:sz w:val="32"/>
          <w:szCs w:val="32"/>
          <w:highlight w:val="none"/>
          <w:lang w:val="en-US" w:eastAsia="zh-CN" w:bidi="ar-SA"/>
        </w:rPr>
        <w:t>46.16</w:t>
      </w:r>
      <w:r>
        <w:rPr>
          <w:rFonts w:hint="default" w:ascii="Times New Roman" w:hAnsi="Times New Roman" w:eastAsia="仿宋_GB2312" w:cs="Times New Roman"/>
          <w:b w:val="0"/>
          <w:bCs w:val="0"/>
          <w:color w:val="auto"/>
          <w:kern w:val="2"/>
          <w:sz w:val="32"/>
          <w:szCs w:val="32"/>
          <w:highlight w:val="none"/>
          <w:lang w:val="en-US" w:eastAsia="zh-CN" w:bidi="ar-SA"/>
        </w:rPr>
        <w:t>%，项目满足相应的绿地标准及仙游县城市规划要求，工业用地绿地率在10%-20%之间，能够保证项目运营期内的优良环境，有利于改善片区生态环境质量，净化空气、减少灰尘和噪声污染，使项目区域生态环境实现良性循环，实现人与自然、经济发展与资源环境协调、可持续发展。</w:t>
      </w: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本方案</w:t>
      </w:r>
      <w:r>
        <w:rPr>
          <w:rFonts w:hint="eastAsia" w:ascii="Times New Roman" w:hAnsi="Times New Roman" w:eastAsia="仿宋_GB2312" w:cs="Times New Roman"/>
          <w:b w:val="0"/>
          <w:bCs w:val="0"/>
          <w:color w:val="auto"/>
          <w:kern w:val="2"/>
          <w:sz w:val="32"/>
          <w:szCs w:val="32"/>
          <w:highlight w:val="none"/>
          <w:lang w:val="en-US" w:eastAsia="zh-CN" w:bidi="ar-SA"/>
        </w:rPr>
        <w:t>的</w:t>
      </w:r>
      <w:r>
        <w:rPr>
          <w:rFonts w:hint="default" w:ascii="Times New Roman" w:hAnsi="Times New Roman" w:eastAsia="仿宋_GB2312" w:cs="Times New Roman"/>
          <w:b w:val="0"/>
          <w:bCs w:val="0"/>
          <w:color w:val="auto"/>
          <w:kern w:val="2"/>
          <w:sz w:val="32"/>
          <w:szCs w:val="32"/>
          <w:highlight w:val="none"/>
          <w:lang w:val="en-US" w:eastAsia="zh-CN" w:bidi="ar-SA"/>
        </w:rPr>
        <w:t>建设有利于修复自然环境，改善环境，改善区域土壤环境，从而实现生态环境与工业生产的可持续发展。本方案在施工和运营期将产生废水、废气、噪声和固体废弃物等，经采取有效的防护处理措施后，在确保环保设施正常运行并加强管理的情况下，各类污染物可得到有效的处理并达标排放，可以将对环境的影响减小到最低程度。</w:t>
      </w: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本方案在开发建设过程中将会严格按照《工矿用地土壤环境管理办法（试行）》第七条要求，在项目建设过程中不会对区域生态环境产生明显的影响，符合环境质量底线要求，同时加快雨水管道和污水管网建设，提高雨水和污水收集效率和集中处理率。政府将督促有关部门落实地下水环境现状调查、地表水环境影响分析及可行性保护措施评价工作，积极落实水环境保护措施，确保满足周边及下游水环境质量要求。</w:t>
      </w: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p>
    <w:p>
      <w:pPr>
        <w:pStyle w:val="2"/>
        <w:rPr>
          <w:rFonts w:hint="default" w:ascii="Times New Roman" w:hAnsi="Times New Roman" w:eastAsia="仿宋_GB2312" w:cs="Times New Roman"/>
          <w:b w:val="0"/>
          <w:bCs w:val="0"/>
          <w:color w:val="auto"/>
          <w:kern w:val="2"/>
          <w:sz w:val="32"/>
          <w:szCs w:val="32"/>
          <w:highlight w:val="none"/>
          <w:lang w:val="en-US" w:eastAsia="zh-CN" w:bidi="ar-SA"/>
        </w:rPr>
      </w:pPr>
    </w:p>
    <w:p>
      <w:pPr>
        <w:pStyle w:val="2"/>
        <w:rPr>
          <w:rFonts w:hint="default" w:ascii="Times New Roman" w:hAnsi="Times New Roman" w:eastAsia="仿宋_GB2312" w:cs="Times New Roman"/>
          <w:b w:val="0"/>
          <w:bCs w:val="0"/>
          <w:color w:val="auto"/>
          <w:kern w:val="2"/>
          <w:sz w:val="32"/>
          <w:szCs w:val="32"/>
          <w:highlight w:val="none"/>
          <w:lang w:val="en-US" w:eastAsia="zh-CN" w:bidi="ar-SA"/>
        </w:rPr>
      </w:pPr>
    </w:p>
    <w:p>
      <w:pPr>
        <w:pStyle w:val="2"/>
        <w:rPr>
          <w:rFonts w:hint="default" w:ascii="Times New Roman" w:hAnsi="Times New Roman" w:eastAsia="仿宋_GB2312" w:cs="Times New Roman"/>
          <w:b w:val="0"/>
          <w:bCs w:val="0"/>
          <w:color w:val="auto"/>
          <w:kern w:val="2"/>
          <w:sz w:val="32"/>
          <w:szCs w:val="32"/>
          <w:highlight w:val="none"/>
          <w:lang w:val="en-US" w:eastAsia="zh-CN" w:bidi="ar-SA"/>
        </w:rPr>
      </w:pPr>
    </w:p>
    <w:p>
      <w:pPr>
        <w:pStyle w:val="2"/>
        <w:rPr>
          <w:rFonts w:hint="default" w:ascii="Times New Roman" w:hAnsi="Times New Roman" w:eastAsia="仿宋_GB2312" w:cs="Times New Roman"/>
          <w:b w:val="0"/>
          <w:bCs w:val="0"/>
          <w:color w:val="auto"/>
          <w:kern w:val="2"/>
          <w:sz w:val="32"/>
          <w:szCs w:val="32"/>
          <w:highlight w:val="none"/>
          <w:lang w:val="en-US" w:eastAsia="zh-CN" w:bidi="ar-SA"/>
        </w:rPr>
      </w:pPr>
    </w:p>
    <w:p>
      <w:pPr>
        <w:pStyle w:val="2"/>
        <w:rPr>
          <w:rFonts w:hint="default" w:ascii="Times New Roman" w:hAnsi="Times New Roman" w:eastAsia="仿宋_GB2312" w:cs="Times New Roman"/>
          <w:b w:val="0"/>
          <w:bCs w:val="0"/>
          <w:color w:val="auto"/>
          <w:kern w:val="2"/>
          <w:sz w:val="32"/>
          <w:szCs w:val="32"/>
          <w:highlight w:val="none"/>
          <w:lang w:val="en-US" w:eastAsia="zh-CN" w:bidi="ar-SA"/>
        </w:rPr>
      </w:pPr>
    </w:p>
    <w:p>
      <w:pPr>
        <w:pStyle w:val="2"/>
        <w:rPr>
          <w:rFonts w:hint="default" w:ascii="Times New Roman" w:hAnsi="Times New Roman" w:eastAsia="仿宋_GB2312" w:cs="Times New Roman"/>
          <w:b w:val="0"/>
          <w:bCs w:val="0"/>
          <w:color w:val="auto"/>
          <w:kern w:val="2"/>
          <w:sz w:val="32"/>
          <w:szCs w:val="32"/>
          <w:highlight w:val="none"/>
          <w:lang w:val="en-US" w:eastAsia="zh-CN" w:bidi="ar-SA"/>
        </w:rPr>
      </w:pPr>
    </w:p>
    <w:p>
      <w:pPr>
        <w:pStyle w:val="2"/>
        <w:rPr>
          <w:rFonts w:hint="default" w:ascii="Times New Roman" w:hAnsi="Times New Roman" w:eastAsia="仿宋_GB2312" w:cs="Times New Roman"/>
          <w:b w:val="0"/>
          <w:bCs w:val="0"/>
          <w:color w:val="auto"/>
          <w:kern w:val="2"/>
          <w:sz w:val="32"/>
          <w:szCs w:val="32"/>
          <w:highlight w:val="none"/>
          <w:lang w:val="en-US" w:eastAsia="zh-CN" w:bidi="ar-SA"/>
        </w:rPr>
      </w:pPr>
    </w:p>
    <w:p>
      <w:pPr>
        <w:pStyle w:val="2"/>
        <w:rPr>
          <w:rFonts w:hint="default" w:ascii="Times New Roman" w:hAnsi="Times New Roman" w:eastAsia="仿宋_GB2312" w:cs="Times New Roman"/>
          <w:b w:val="0"/>
          <w:bCs w:val="0"/>
          <w:color w:val="auto"/>
          <w:kern w:val="2"/>
          <w:sz w:val="32"/>
          <w:szCs w:val="32"/>
          <w:highlight w:val="none"/>
          <w:lang w:val="en-US" w:eastAsia="zh-CN" w:bidi="ar-SA"/>
        </w:rPr>
      </w:pPr>
    </w:p>
    <w:p>
      <w:pPr>
        <w:pStyle w:val="2"/>
        <w:rPr>
          <w:rFonts w:hint="default" w:ascii="Times New Roman" w:hAnsi="Times New Roman" w:eastAsia="仿宋_GB2312" w:cs="Times New Roman"/>
          <w:b w:val="0"/>
          <w:bCs w:val="0"/>
          <w:color w:val="auto"/>
          <w:kern w:val="2"/>
          <w:sz w:val="32"/>
          <w:szCs w:val="32"/>
          <w:highlight w:val="none"/>
          <w:lang w:val="en-US" w:eastAsia="zh-CN" w:bidi="ar-SA"/>
        </w:rPr>
      </w:pPr>
    </w:p>
    <w:p>
      <w:pPr>
        <w:pageBreakBefore w:val="0"/>
        <w:widowControl/>
        <w:kinsoku/>
        <w:wordWrap/>
        <w:overflowPunct/>
        <w:topLinePunct w:val="0"/>
        <w:autoSpaceDE/>
        <w:autoSpaceDN/>
        <w:bidi w:val="0"/>
        <w:snapToGrid/>
        <w:spacing w:before="157" w:beforeLines="50" w:after="157" w:afterLines="50" w:line="600" w:lineRule="exact"/>
        <w:ind w:left="0" w:right="0" w:firstLine="640" w:firstLineChars="200"/>
        <w:jc w:val="both"/>
        <w:textAlignment w:val="auto"/>
        <w:outlineLvl w:val="9"/>
        <w:rPr>
          <w:rFonts w:hint="default" w:ascii="Times New Roman" w:hAnsi="Times New Roman" w:eastAsia="楷体_GB2312" w:cs="Times New Roman"/>
          <w:b w:val="0"/>
          <w:bCs w:val="0"/>
          <w:i w:val="0"/>
          <w:caps w:val="0"/>
          <w:color w:val="auto"/>
          <w:spacing w:val="0"/>
          <w:w w:val="100"/>
          <w:sz w:val="32"/>
          <w:highlight w:val="none"/>
        </w:rPr>
      </w:pPr>
      <w:bookmarkStart w:id="28" w:name="_bookmark22"/>
      <w:bookmarkEnd w:id="28"/>
      <w:bookmarkStart w:id="29" w:name="_bookmark23"/>
      <w:bookmarkEnd w:id="29"/>
      <w:bookmarkStart w:id="30" w:name="_Toc14467"/>
      <w:r>
        <w:rPr>
          <w:rFonts w:hint="default" w:ascii="Times New Roman" w:hAnsi="Times New Roman" w:eastAsia="楷体_GB2312" w:cs="Times New Roman"/>
          <w:b w:val="0"/>
          <w:bCs w:val="0"/>
          <w:i w:val="0"/>
          <w:caps w:val="0"/>
          <w:color w:val="auto"/>
          <w:spacing w:val="0"/>
          <w:w w:val="100"/>
          <w:sz w:val="32"/>
          <w:highlight w:val="none"/>
        </w:rPr>
        <w:br w:type="page"/>
      </w:r>
      <w:bookmarkEnd w:id="30"/>
    </w:p>
    <w:p>
      <w:pPr>
        <w:pStyle w:val="6"/>
        <w:outlineLvl w:val="9"/>
        <w:rPr>
          <w:rFonts w:hint="default" w:ascii="Times New Roman" w:hAnsi="Times New Roman" w:cs="Times New Roman"/>
          <w:color w:val="auto"/>
          <w:highlight w:val="none"/>
          <w:lang w:val="en-US"/>
        </w:rPr>
        <w:sectPr>
          <w:footerReference r:id="rId9" w:type="default"/>
          <w:pgSz w:w="11905" w:h="16838"/>
          <w:pgMar w:top="2098" w:right="1474" w:bottom="1984" w:left="1587" w:header="850" w:footer="992" w:gutter="0"/>
          <w:pgBorders>
            <w:top w:val="none" w:sz="0" w:space="0"/>
            <w:left w:val="none" w:sz="0" w:space="0"/>
            <w:bottom w:val="none" w:sz="0" w:space="0"/>
            <w:right w:val="none" w:sz="0" w:space="0"/>
          </w:pgBorders>
          <w:pgNumType w:fmt="decimal"/>
          <w:cols w:space="0" w:num="1"/>
          <w:rtlGutter w:val="0"/>
          <w:docGrid w:type="lines" w:linePitch="327" w:charSpace="0"/>
        </w:sectPr>
      </w:pPr>
    </w:p>
    <w:p>
      <w:pPr>
        <w:pStyle w:val="3"/>
        <w:keepNext/>
        <w:keepLines/>
        <w:pageBreakBefore w:val="0"/>
        <w:widowControl w:val="0"/>
        <w:numPr>
          <w:ilvl w:val="0"/>
          <w:numId w:val="1"/>
        </w:numPr>
        <w:kinsoku/>
        <w:wordWrap/>
        <w:overflowPunct/>
        <w:topLinePunct w:val="0"/>
        <w:autoSpaceDE/>
        <w:autoSpaceDN/>
        <w:bidi w:val="0"/>
        <w:adjustRightInd/>
        <w:snapToGrid/>
        <w:spacing w:before="157" w:beforeLines="50" w:after="157" w:afterLines="50" w:line="240" w:lineRule="auto"/>
        <w:ind w:left="0" w:leftChars="0" w:right="0" w:firstLine="420" w:firstLineChars="0"/>
        <w:jc w:val="left"/>
        <w:textAlignment w:val="auto"/>
        <w:rPr>
          <w:rFonts w:hint="default" w:ascii="Times New Roman" w:hAnsi="Times New Roman" w:cs="Times New Roman"/>
          <w:color w:val="auto"/>
          <w:highlight w:val="none"/>
          <w:lang w:val="en-US" w:eastAsia="zh-CN"/>
        </w:rPr>
        <w:sectPr>
          <w:headerReference r:id="rId10" w:type="default"/>
          <w:footerReference r:id="rId11" w:type="default"/>
          <w:pgSz w:w="11905" w:h="16838"/>
          <w:pgMar w:top="2098" w:right="1474" w:bottom="1984" w:left="1587" w:header="850" w:footer="992" w:gutter="0"/>
          <w:pgBorders>
            <w:top w:val="none" w:sz="0" w:space="0"/>
            <w:left w:val="none" w:sz="0" w:space="0"/>
            <w:bottom w:val="none" w:sz="0" w:space="0"/>
            <w:right w:val="none" w:sz="0" w:space="0"/>
          </w:pgBorders>
          <w:pgNumType w:fmt="decimal"/>
          <w:cols w:space="0" w:num="1"/>
          <w:rtlGutter w:val="0"/>
          <w:docGrid w:type="lines" w:linePitch="327" w:charSpace="0"/>
        </w:sectPr>
      </w:pPr>
      <w:bookmarkStart w:id="31" w:name="_bookmark26"/>
      <w:bookmarkEnd w:id="31"/>
      <w:bookmarkStart w:id="32" w:name="_Toc22425"/>
      <w:r>
        <w:rPr>
          <w:rFonts w:hint="default" w:ascii="Times New Roman" w:hAnsi="Times New Roman" w:eastAsia="宋体" w:cs="Times New Roman"/>
          <w:b w:val="0"/>
          <w:bCs w:val="0"/>
          <w:i w:val="0"/>
          <w:caps w:val="0"/>
          <w:color w:val="auto"/>
          <w:spacing w:val="0"/>
          <w:w w:val="100"/>
          <w:sz w:val="20"/>
          <w:highlight w:val="none"/>
          <w:lang w:eastAsia="zh-CN"/>
        </w:rPr>
        <w:drawing>
          <wp:anchor distT="0" distB="0" distL="114300" distR="114300" simplePos="0" relativeHeight="251661312" behindDoc="1" locked="0" layoutInCell="1" allowOverlap="1">
            <wp:simplePos x="0" y="0"/>
            <wp:positionH relativeFrom="column">
              <wp:posOffset>328930</wp:posOffset>
            </wp:positionH>
            <wp:positionV relativeFrom="paragraph">
              <wp:posOffset>499110</wp:posOffset>
            </wp:positionV>
            <wp:extent cx="5191760" cy="7337425"/>
            <wp:effectExtent l="0" t="0" r="8890" b="15875"/>
            <wp:wrapNone/>
            <wp:docPr id="3" name="图片 3" descr="F:\佳昌数据\仙游县成片开发（高端装备产业园片区二期）\县征求意见会后修改\修改后初稿\01方案\图件修改\成片开发位置示意图（01方案）.jpg成片开发位置示意图（01方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佳昌数据\仙游县成片开发（高端装备产业园片区二期）\县征求意见会后修改\修改后初稿\01方案\图件修改\成片开发位置示意图（01方案）.jpg成片开发位置示意图（01方案）"/>
                    <pic:cNvPicPr>
                      <a:picLocks noChangeAspect="1"/>
                    </pic:cNvPicPr>
                  </pic:nvPicPr>
                  <pic:blipFill>
                    <a:blip r:embed="rId13"/>
                    <a:srcRect/>
                    <a:stretch>
                      <a:fillRect/>
                    </a:stretch>
                  </pic:blipFill>
                  <pic:spPr>
                    <a:xfrm>
                      <a:off x="0" y="0"/>
                      <a:ext cx="5191760" cy="7337425"/>
                    </a:xfrm>
                    <a:prstGeom prst="rect">
                      <a:avLst/>
                    </a:prstGeom>
                  </pic:spPr>
                </pic:pic>
              </a:graphicData>
            </a:graphic>
          </wp:anchor>
        </w:drawing>
      </w:r>
      <w:r>
        <w:rPr>
          <w:rFonts w:hint="default" w:ascii="Times New Roman" w:hAnsi="Times New Roman" w:eastAsia="黑体" w:cs="Times New Roman"/>
          <w:b w:val="0"/>
          <w:bCs w:val="0"/>
          <w:color w:val="auto"/>
          <w:kern w:val="44"/>
          <w:szCs w:val="44"/>
          <w:highlight w:val="none"/>
          <w:lang w:val="en-US" w:eastAsia="zh-CN" w:bidi="ar-SA"/>
        </w:rPr>
        <w:t>附图</w:t>
      </w:r>
      <w:bookmarkEnd w:id="32"/>
    </w:p>
    <w:p>
      <w:pPr>
        <w:pStyle w:val="3"/>
        <w:keepNext/>
        <w:keepLines/>
        <w:pageBreakBefore w:val="0"/>
        <w:widowControl w:val="0"/>
        <w:numPr>
          <w:ilvl w:val="0"/>
          <w:numId w:val="1"/>
        </w:numPr>
        <w:kinsoku/>
        <w:wordWrap/>
        <w:overflowPunct/>
        <w:topLinePunct w:val="0"/>
        <w:autoSpaceDE/>
        <w:autoSpaceDN/>
        <w:bidi w:val="0"/>
        <w:adjustRightInd/>
        <w:snapToGrid/>
        <w:spacing w:before="157" w:beforeLines="50" w:after="157" w:afterLines="50" w:line="600" w:lineRule="exact"/>
        <w:ind w:left="0" w:leftChars="0" w:right="0" w:firstLine="420" w:firstLineChars="0"/>
        <w:jc w:val="left"/>
        <w:textAlignment w:val="auto"/>
        <w:rPr>
          <w:rFonts w:hint="default" w:ascii="Times New Roman" w:hAnsi="Times New Roman" w:eastAsia="黑体" w:cs="Times New Roman"/>
          <w:b w:val="0"/>
          <w:bCs w:val="0"/>
          <w:color w:val="auto"/>
          <w:kern w:val="44"/>
          <w:szCs w:val="44"/>
          <w:highlight w:val="none"/>
          <w:lang w:val="en-US" w:eastAsia="zh-CN" w:bidi="ar-SA"/>
        </w:rPr>
      </w:pPr>
      <w:bookmarkStart w:id="33" w:name="_bookmark27"/>
      <w:bookmarkEnd w:id="33"/>
      <w:bookmarkStart w:id="34" w:name="_Toc20968"/>
      <w:r>
        <w:rPr>
          <w:rFonts w:hint="default" w:ascii="Times New Roman" w:hAnsi="Times New Roman" w:eastAsia="黑体" w:cs="Times New Roman"/>
          <w:b w:val="0"/>
          <w:bCs w:val="0"/>
          <w:color w:val="auto"/>
          <w:kern w:val="44"/>
          <w:szCs w:val="44"/>
          <w:highlight w:val="none"/>
          <w:lang w:val="en-US" w:eastAsia="zh-CN" w:bidi="ar-SA"/>
        </w:rPr>
        <w:t>附表</w:t>
      </w:r>
      <w:bookmarkEnd w:id="34"/>
    </w:p>
    <w:tbl>
      <w:tblPr>
        <w:tblStyle w:val="15"/>
        <w:tblW w:w="500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7"/>
        <w:gridCol w:w="2025"/>
        <w:gridCol w:w="1542"/>
        <w:gridCol w:w="1685"/>
        <w:gridCol w:w="1231"/>
        <w:gridCol w:w="1594"/>
        <w:gridCol w:w="1981"/>
        <w:gridCol w:w="1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auto"/>
                <w:sz w:val="32"/>
                <w:szCs w:val="32"/>
                <w:highlight w:val="none"/>
                <w:u w:val="none"/>
              </w:rPr>
            </w:pPr>
            <w:r>
              <w:rPr>
                <w:rFonts w:hint="eastAsia" w:ascii="黑体" w:hAnsi="宋体" w:eastAsia="黑体" w:cs="黑体"/>
                <w:i w:val="0"/>
                <w:iCs w:val="0"/>
                <w:color w:val="auto"/>
                <w:kern w:val="0"/>
                <w:sz w:val="32"/>
                <w:szCs w:val="32"/>
                <w:highlight w:val="none"/>
                <w:u w:val="none"/>
                <w:lang w:val="en-US" w:eastAsia="zh-CN" w:bidi="ar"/>
              </w:rPr>
              <w:t>附表</w:t>
            </w:r>
            <w:r>
              <w:rPr>
                <w:rFonts w:hint="default" w:ascii="Times New Roman" w:hAnsi="Times New Roman" w:eastAsia="黑体" w:cs="Times New Roman"/>
                <w:i w:val="0"/>
                <w:iCs w:val="0"/>
                <w:color w:val="auto"/>
                <w:kern w:val="0"/>
                <w:sz w:val="32"/>
                <w:szCs w:val="32"/>
                <w:highlight w:val="none"/>
                <w:u w:val="none"/>
                <w:lang w:val="en-US" w:eastAsia="zh-CN" w:bidi="ar"/>
              </w:rPr>
              <w:t xml:space="preserve"> 1 </w:t>
            </w:r>
            <w:r>
              <w:rPr>
                <w:rFonts w:hint="eastAsia" w:ascii="黑体" w:hAnsi="宋体" w:eastAsia="黑体" w:cs="黑体"/>
                <w:i w:val="0"/>
                <w:iCs w:val="0"/>
                <w:color w:val="auto"/>
                <w:kern w:val="0"/>
                <w:sz w:val="32"/>
                <w:szCs w:val="32"/>
                <w:highlight w:val="none"/>
                <w:u w:val="none"/>
                <w:lang w:val="en-US" w:eastAsia="zh-CN" w:bidi="ar"/>
              </w:rPr>
              <w:t>土地利用现状及权属统计表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单位：公顷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28"/>
                <w:szCs w:val="28"/>
                <w:highlight w:val="none"/>
                <w:u w:val="none"/>
              </w:rPr>
            </w:pPr>
            <w:r>
              <w:rPr>
                <w:rFonts w:hint="eastAsia" w:ascii="仿宋_GB2312" w:hAnsi="宋体" w:eastAsia="仿宋_GB2312" w:cs="仿宋_GB2312"/>
                <w:b/>
                <w:bCs/>
                <w:i w:val="0"/>
                <w:iCs w:val="0"/>
                <w:color w:val="auto"/>
                <w:kern w:val="0"/>
                <w:sz w:val="28"/>
                <w:szCs w:val="28"/>
                <w:highlight w:val="none"/>
                <w:u w:val="none"/>
                <w:lang w:val="en-US" w:eastAsia="zh-CN" w:bidi="ar"/>
              </w:rPr>
              <w:t>用地方式</w:t>
            </w:r>
          </w:p>
        </w:tc>
        <w:tc>
          <w:tcPr>
            <w:tcW w:w="1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28"/>
                <w:szCs w:val="28"/>
                <w:highlight w:val="none"/>
                <w:u w:val="none"/>
              </w:rPr>
            </w:pPr>
            <w:r>
              <w:rPr>
                <w:rFonts w:hint="eastAsia" w:ascii="仿宋_GB2312" w:hAnsi="宋体" w:eastAsia="仿宋_GB2312" w:cs="仿宋_GB2312"/>
                <w:b/>
                <w:bCs/>
                <w:i w:val="0"/>
                <w:iCs w:val="0"/>
                <w:color w:val="auto"/>
                <w:kern w:val="0"/>
                <w:sz w:val="28"/>
                <w:szCs w:val="28"/>
                <w:highlight w:val="none"/>
                <w:u w:val="none"/>
                <w:lang w:val="en-US" w:eastAsia="zh-CN" w:bidi="ar"/>
              </w:rPr>
              <w:t>权属单位</w:t>
            </w:r>
          </w:p>
        </w:tc>
        <w:tc>
          <w:tcPr>
            <w:tcW w:w="6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28"/>
                <w:szCs w:val="28"/>
                <w:highlight w:val="none"/>
                <w:u w:val="none"/>
              </w:rPr>
            </w:pPr>
            <w:r>
              <w:rPr>
                <w:rFonts w:hint="eastAsia" w:ascii="仿宋_GB2312" w:hAnsi="宋体" w:eastAsia="仿宋_GB2312" w:cs="仿宋_GB2312"/>
                <w:b/>
                <w:bCs/>
                <w:i w:val="0"/>
                <w:iCs w:val="0"/>
                <w:color w:val="auto"/>
                <w:kern w:val="0"/>
                <w:sz w:val="28"/>
                <w:szCs w:val="28"/>
                <w:highlight w:val="none"/>
                <w:u w:val="none"/>
                <w:lang w:val="en-US" w:eastAsia="zh-CN" w:bidi="ar"/>
              </w:rPr>
              <w:t>面积总计</w:t>
            </w:r>
          </w:p>
        </w:tc>
        <w:tc>
          <w:tcPr>
            <w:tcW w:w="10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28"/>
                <w:szCs w:val="28"/>
                <w:highlight w:val="none"/>
                <w:u w:val="none"/>
              </w:rPr>
            </w:pPr>
            <w:r>
              <w:rPr>
                <w:rFonts w:hint="eastAsia" w:ascii="仿宋_GB2312" w:hAnsi="宋体" w:eastAsia="仿宋_GB2312" w:cs="仿宋_GB2312"/>
                <w:b/>
                <w:bCs/>
                <w:i w:val="0"/>
                <w:iCs w:val="0"/>
                <w:color w:val="auto"/>
                <w:kern w:val="0"/>
                <w:sz w:val="28"/>
                <w:szCs w:val="28"/>
                <w:highlight w:val="none"/>
                <w:u w:val="none"/>
                <w:lang w:val="en-US" w:eastAsia="zh-CN" w:bidi="ar"/>
              </w:rPr>
              <w:t>农用地</w:t>
            </w:r>
          </w:p>
        </w:tc>
        <w:tc>
          <w:tcPr>
            <w:tcW w:w="7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28"/>
                <w:szCs w:val="28"/>
                <w:highlight w:val="none"/>
                <w:u w:val="none"/>
              </w:rPr>
            </w:pPr>
            <w:r>
              <w:rPr>
                <w:rFonts w:hint="eastAsia" w:ascii="仿宋_GB2312" w:hAnsi="宋体" w:eastAsia="仿宋_GB2312" w:cs="仿宋_GB2312"/>
                <w:b/>
                <w:bCs/>
                <w:i w:val="0"/>
                <w:iCs w:val="0"/>
                <w:color w:val="auto"/>
                <w:kern w:val="0"/>
                <w:sz w:val="28"/>
                <w:szCs w:val="28"/>
                <w:highlight w:val="none"/>
                <w:u w:val="none"/>
                <w:lang w:val="en-US" w:eastAsia="zh-CN" w:bidi="ar"/>
              </w:rPr>
              <w:t>建设用地</w:t>
            </w:r>
          </w:p>
        </w:tc>
        <w:tc>
          <w:tcPr>
            <w:tcW w:w="6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28"/>
                <w:szCs w:val="28"/>
                <w:highlight w:val="none"/>
                <w:u w:val="none"/>
              </w:rPr>
            </w:pPr>
            <w:r>
              <w:rPr>
                <w:rFonts w:hint="eastAsia" w:ascii="仿宋_GB2312" w:hAnsi="宋体" w:eastAsia="仿宋_GB2312" w:cs="仿宋_GB2312"/>
                <w:b/>
                <w:bCs/>
                <w:i w:val="0"/>
                <w:iCs w:val="0"/>
                <w:color w:val="auto"/>
                <w:kern w:val="0"/>
                <w:sz w:val="28"/>
                <w:szCs w:val="28"/>
                <w:highlight w:val="none"/>
                <w:u w:val="none"/>
                <w:lang w:val="en-US" w:eastAsia="zh-CN" w:bidi="ar"/>
              </w:rPr>
              <w:t>未利用地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auto"/>
                <w:sz w:val="28"/>
                <w:szCs w:val="28"/>
                <w:highlight w:val="none"/>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28"/>
                <w:szCs w:val="28"/>
                <w:highlight w:val="none"/>
                <w:u w:val="none"/>
              </w:rPr>
            </w:pPr>
            <w:r>
              <w:rPr>
                <w:rFonts w:hint="eastAsia" w:ascii="仿宋_GB2312" w:hAnsi="宋体" w:eastAsia="仿宋_GB2312" w:cs="仿宋_GB2312"/>
                <w:b/>
                <w:bCs/>
                <w:i w:val="0"/>
                <w:iCs w:val="0"/>
                <w:color w:val="auto"/>
                <w:kern w:val="0"/>
                <w:sz w:val="28"/>
                <w:szCs w:val="28"/>
                <w:highlight w:val="none"/>
                <w:u w:val="none"/>
                <w:lang w:val="en-US" w:eastAsia="zh-CN" w:bidi="ar"/>
              </w:rPr>
              <w:t>乡（镇、街道）</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28"/>
                <w:szCs w:val="28"/>
                <w:highlight w:val="none"/>
                <w:u w:val="none"/>
              </w:rPr>
            </w:pPr>
            <w:r>
              <w:rPr>
                <w:rFonts w:hint="eastAsia" w:ascii="仿宋_GB2312" w:hAnsi="宋体" w:eastAsia="仿宋_GB2312" w:cs="仿宋_GB2312"/>
                <w:b/>
                <w:bCs/>
                <w:i w:val="0"/>
                <w:iCs w:val="0"/>
                <w:color w:val="auto"/>
                <w:kern w:val="0"/>
                <w:sz w:val="28"/>
                <w:szCs w:val="28"/>
                <w:highlight w:val="none"/>
                <w:u w:val="none"/>
                <w:lang w:val="en-US" w:eastAsia="zh-CN" w:bidi="ar"/>
              </w:rPr>
              <w:t>村</w:t>
            </w: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auto"/>
                <w:sz w:val="28"/>
                <w:szCs w:val="28"/>
                <w:highlight w:val="none"/>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28"/>
                <w:szCs w:val="28"/>
                <w:highlight w:val="none"/>
                <w:u w:val="none"/>
              </w:rPr>
            </w:pPr>
            <w:r>
              <w:rPr>
                <w:rFonts w:hint="eastAsia" w:ascii="仿宋_GB2312" w:hAnsi="宋体" w:eastAsia="仿宋_GB2312" w:cs="仿宋_GB2312"/>
                <w:b/>
                <w:bCs/>
                <w:i w:val="0"/>
                <w:iCs w:val="0"/>
                <w:color w:val="auto"/>
                <w:kern w:val="0"/>
                <w:sz w:val="28"/>
                <w:szCs w:val="28"/>
                <w:highlight w:val="none"/>
                <w:u w:val="none"/>
                <w:lang w:val="en-US" w:eastAsia="zh-CN" w:bidi="ar"/>
              </w:rPr>
              <w:t>合计</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28"/>
                <w:szCs w:val="28"/>
                <w:highlight w:val="none"/>
                <w:u w:val="none"/>
              </w:rPr>
            </w:pPr>
            <w:r>
              <w:rPr>
                <w:rFonts w:hint="eastAsia" w:ascii="仿宋_GB2312" w:hAnsi="宋体" w:eastAsia="仿宋_GB2312" w:cs="仿宋_GB2312"/>
                <w:b/>
                <w:bCs/>
                <w:i w:val="0"/>
                <w:iCs w:val="0"/>
                <w:color w:val="auto"/>
                <w:kern w:val="0"/>
                <w:sz w:val="28"/>
                <w:szCs w:val="28"/>
                <w:highlight w:val="none"/>
                <w:u w:val="none"/>
                <w:lang w:val="en-US" w:eastAsia="zh-CN" w:bidi="ar"/>
              </w:rPr>
              <w:t>其中：耕地</w:t>
            </w:r>
          </w:p>
        </w:tc>
        <w:tc>
          <w:tcPr>
            <w:tcW w:w="7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auto"/>
                <w:sz w:val="28"/>
                <w:szCs w:val="28"/>
                <w:highlight w:val="none"/>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28"/>
                <w:szCs w:val="28"/>
                <w:highlight w:val="none"/>
                <w:u w:val="none"/>
              </w:rPr>
            </w:pPr>
            <w:r>
              <w:rPr>
                <w:rFonts w:hint="eastAsia" w:ascii="仿宋_GB2312" w:hAnsi="宋体" w:eastAsia="仿宋_GB2312" w:cs="仿宋_GB2312"/>
                <w:b/>
                <w:bCs/>
                <w:i w:val="0"/>
                <w:iCs w:val="0"/>
                <w:color w:val="auto"/>
                <w:kern w:val="0"/>
                <w:sz w:val="28"/>
                <w:szCs w:val="28"/>
                <w:highlight w:val="none"/>
                <w:u w:val="none"/>
                <w:lang w:val="en-US" w:eastAsia="zh-CN" w:bidi="ar"/>
              </w:rPr>
              <w:t>集体土地</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枫亭镇</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斗北村</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iCs w:val="0"/>
                <w:color w:val="auto"/>
                <w:kern w:val="0"/>
                <w:sz w:val="28"/>
                <w:szCs w:val="28"/>
                <w:highlight w:val="none"/>
                <w:u w:val="none"/>
                <w:lang w:val="en-US" w:eastAsia="zh-CN" w:bidi="ar"/>
              </w:rPr>
              <w:t>9.</w:t>
            </w:r>
            <w:bookmarkStart w:id="35" w:name="_GoBack"/>
            <w:bookmarkEnd w:id="35"/>
            <w:r>
              <w:rPr>
                <w:rFonts w:hint="default" w:ascii="Times New Roman" w:hAnsi="Times New Roman" w:eastAsia="宋体" w:cs="Times New Roman"/>
                <w:i w:val="0"/>
                <w:iCs w:val="0"/>
                <w:color w:val="auto"/>
                <w:kern w:val="0"/>
                <w:sz w:val="28"/>
                <w:szCs w:val="28"/>
                <w:highlight w:val="none"/>
                <w:u w:val="none"/>
                <w:lang w:val="en-US" w:eastAsia="zh-CN" w:bidi="ar"/>
              </w:rPr>
              <w:t xml:space="preserve">1952 </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iCs w:val="0"/>
                <w:color w:val="auto"/>
                <w:kern w:val="0"/>
                <w:sz w:val="28"/>
                <w:szCs w:val="28"/>
                <w:highlight w:val="none"/>
                <w:u w:val="none"/>
                <w:lang w:val="en-US" w:eastAsia="zh-CN" w:bidi="ar"/>
              </w:rPr>
              <w:t xml:space="preserve">0.5284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iCs w:val="0"/>
                <w:color w:val="auto"/>
                <w:kern w:val="0"/>
                <w:sz w:val="28"/>
                <w:szCs w:val="28"/>
                <w:highlight w:val="none"/>
                <w:u w:val="none"/>
                <w:lang w:val="en-US" w:eastAsia="zh-CN" w:bidi="ar"/>
              </w:rPr>
              <w:t xml:space="preserve">0.0000 </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iCs w:val="0"/>
                <w:color w:val="auto"/>
                <w:kern w:val="0"/>
                <w:sz w:val="28"/>
                <w:szCs w:val="28"/>
                <w:highlight w:val="none"/>
                <w:u w:val="none"/>
                <w:lang w:val="en-US" w:eastAsia="zh-CN" w:bidi="ar"/>
              </w:rPr>
              <w:t xml:space="preserve">8.6668 </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iCs w:val="0"/>
                <w:color w:val="auto"/>
                <w:kern w:val="0"/>
                <w:sz w:val="28"/>
                <w:szCs w:val="28"/>
                <w:highlight w:val="none"/>
                <w:u w:val="none"/>
                <w:lang w:val="en-US" w:eastAsia="zh-CN" w:bidi="ar"/>
              </w:rPr>
              <w:t xml:space="preserve">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18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28"/>
                <w:szCs w:val="28"/>
                <w:highlight w:val="none"/>
                <w:u w:val="none"/>
              </w:rPr>
            </w:pPr>
            <w:r>
              <w:rPr>
                <w:rFonts w:hint="eastAsia" w:ascii="仿宋_GB2312" w:hAnsi="宋体" w:eastAsia="仿宋_GB2312" w:cs="仿宋_GB2312"/>
                <w:b/>
                <w:bCs/>
                <w:i w:val="0"/>
                <w:iCs w:val="0"/>
                <w:color w:val="auto"/>
                <w:kern w:val="0"/>
                <w:sz w:val="28"/>
                <w:szCs w:val="28"/>
                <w:highlight w:val="none"/>
                <w:u w:val="none"/>
                <w:lang w:val="en-US" w:eastAsia="zh-CN" w:bidi="ar"/>
              </w:rPr>
              <w:t>集体土地小计</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iCs w:val="0"/>
                <w:color w:val="auto"/>
                <w:kern w:val="0"/>
                <w:sz w:val="28"/>
                <w:szCs w:val="28"/>
                <w:highlight w:val="none"/>
                <w:u w:val="none"/>
                <w:lang w:val="en-US" w:eastAsia="zh-CN" w:bidi="ar"/>
              </w:rPr>
              <w:t xml:space="preserve">9.1952 </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iCs w:val="0"/>
                <w:color w:val="auto"/>
                <w:kern w:val="0"/>
                <w:sz w:val="28"/>
                <w:szCs w:val="28"/>
                <w:highlight w:val="none"/>
                <w:u w:val="none"/>
                <w:lang w:val="en-US" w:eastAsia="zh-CN" w:bidi="ar"/>
              </w:rPr>
              <w:t xml:space="preserve">0.5284 </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iCs w:val="0"/>
                <w:color w:val="auto"/>
                <w:kern w:val="0"/>
                <w:sz w:val="28"/>
                <w:szCs w:val="28"/>
                <w:highlight w:val="none"/>
                <w:u w:val="none"/>
                <w:lang w:val="en-US" w:eastAsia="zh-CN" w:bidi="ar"/>
              </w:rPr>
              <w:t xml:space="preserve">0.0000 </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iCs w:val="0"/>
                <w:color w:val="auto"/>
                <w:kern w:val="0"/>
                <w:sz w:val="28"/>
                <w:szCs w:val="28"/>
                <w:highlight w:val="none"/>
                <w:u w:val="none"/>
                <w:lang w:val="en-US" w:eastAsia="zh-CN" w:bidi="ar"/>
              </w:rPr>
              <w:t xml:space="preserve">8.6668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iCs w:val="0"/>
                <w:color w:val="auto"/>
                <w:kern w:val="0"/>
                <w:sz w:val="28"/>
                <w:szCs w:val="28"/>
                <w:highlight w:val="none"/>
                <w:u w:val="none"/>
                <w:lang w:val="en-US" w:eastAsia="zh-CN" w:bidi="ar"/>
              </w:rPr>
              <w:t xml:space="preserve">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18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28"/>
                <w:szCs w:val="28"/>
                <w:highlight w:val="none"/>
                <w:u w:val="none"/>
              </w:rPr>
            </w:pPr>
            <w:r>
              <w:rPr>
                <w:rFonts w:hint="eastAsia" w:ascii="仿宋_GB2312" w:hAnsi="宋体" w:eastAsia="仿宋_GB2312" w:cs="仿宋_GB2312"/>
                <w:b/>
                <w:bCs/>
                <w:i w:val="0"/>
                <w:iCs w:val="0"/>
                <w:color w:val="auto"/>
                <w:kern w:val="0"/>
                <w:sz w:val="28"/>
                <w:szCs w:val="28"/>
                <w:highlight w:val="none"/>
                <w:u w:val="none"/>
                <w:lang w:val="en-US" w:eastAsia="zh-CN" w:bidi="ar"/>
              </w:rPr>
              <w:t>国有土地小计</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iCs w:val="0"/>
                <w:color w:val="auto"/>
                <w:kern w:val="0"/>
                <w:sz w:val="28"/>
                <w:szCs w:val="28"/>
                <w:highlight w:val="none"/>
                <w:u w:val="none"/>
                <w:lang w:val="en-US" w:eastAsia="zh-CN" w:bidi="ar"/>
              </w:rPr>
              <w:t xml:space="preserve">0.0000 </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iCs w:val="0"/>
                <w:color w:val="auto"/>
                <w:kern w:val="0"/>
                <w:sz w:val="28"/>
                <w:szCs w:val="28"/>
                <w:highlight w:val="none"/>
                <w:u w:val="none"/>
                <w:lang w:val="en-US" w:eastAsia="zh-CN" w:bidi="ar"/>
              </w:rPr>
              <w:t xml:space="preserve">0.0000 </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iCs w:val="0"/>
                <w:color w:val="auto"/>
                <w:kern w:val="0"/>
                <w:sz w:val="28"/>
                <w:szCs w:val="28"/>
                <w:highlight w:val="none"/>
                <w:u w:val="none"/>
                <w:lang w:val="en-US" w:eastAsia="zh-CN" w:bidi="ar"/>
              </w:rPr>
              <w:t xml:space="preserve">0.0000 </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iCs w:val="0"/>
                <w:color w:val="auto"/>
                <w:kern w:val="0"/>
                <w:sz w:val="28"/>
                <w:szCs w:val="28"/>
                <w:highlight w:val="none"/>
                <w:u w:val="none"/>
                <w:lang w:val="en-US" w:eastAsia="zh-CN" w:bidi="ar"/>
              </w:rPr>
              <w:t xml:space="preserve">0.0000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iCs w:val="0"/>
                <w:color w:val="auto"/>
                <w:kern w:val="0"/>
                <w:sz w:val="28"/>
                <w:szCs w:val="28"/>
                <w:highlight w:val="none"/>
                <w:u w:val="none"/>
                <w:lang w:val="en-US" w:eastAsia="zh-CN" w:bidi="ar"/>
              </w:rPr>
              <w:t xml:space="preserve">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18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28"/>
                <w:szCs w:val="28"/>
                <w:highlight w:val="none"/>
                <w:u w:val="none"/>
              </w:rPr>
            </w:pPr>
            <w:r>
              <w:rPr>
                <w:rFonts w:hint="eastAsia" w:ascii="仿宋_GB2312" w:hAnsi="宋体" w:eastAsia="仿宋_GB2312" w:cs="仿宋_GB2312"/>
                <w:b/>
                <w:bCs/>
                <w:i w:val="0"/>
                <w:iCs w:val="0"/>
                <w:color w:val="auto"/>
                <w:kern w:val="0"/>
                <w:sz w:val="28"/>
                <w:szCs w:val="28"/>
                <w:highlight w:val="none"/>
                <w:u w:val="none"/>
                <w:lang w:val="en-US" w:eastAsia="zh-CN" w:bidi="ar"/>
              </w:rPr>
              <w:t>总计</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iCs w:val="0"/>
                <w:color w:val="auto"/>
                <w:kern w:val="0"/>
                <w:sz w:val="28"/>
                <w:szCs w:val="28"/>
                <w:highlight w:val="none"/>
                <w:u w:val="none"/>
                <w:lang w:val="en-US" w:eastAsia="zh-CN" w:bidi="ar"/>
              </w:rPr>
              <w:t xml:space="preserve">9.1952 </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iCs w:val="0"/>
                <w:color w:val="auto"/>
                <w:kern w:val="0"/>
                <w:sz w:val="28"/>
                <w:szCs w:val="28"/>
                <w:highlight w:val="none"/>
                <w:u w:val="none"/>
                <w:lang w:val="en-US" w:eastAsia="zh-CN" w:bidi="ar"/>
              </w:rPr>
              <w:t xml:space="preserve">0.5284 </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iCs w:val="0"/>
                <w:color w:val="auto"/>
                <w:kern w:val="0"/>
                <w:sz w:val="28"/>
                <w:szCs w:val="28"/>
                <w:highlight w:val="none"/>
                <w:u w:val="none"/>
                <w:lang w:val="en-US" w:eastAsia="zh-CN" w:bidi="ar"/>
              </w:rPr>
              <w:t xml:space="preserve">0.0000 </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iCs w:val="0"/>
                <w:color w:val="auto"/>
                <w:kern w:val="0"/>
                <w:sz w:val="28"/>
                <w:szCs w:val="28"/>
                <w:highlight w:val="none"/>
                <w:u w:val="none"/>
                <w:lang w:val="en-US" w:eastAsia="zh-CN" w:bidi="ar"/>
              </w:rPr>
              <w:t xml:space="preserve">8.6668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iCs w:val="0"/>
                <w:color w:val="auto"/>
                <w:kern w:val="0"/>
                <w:sz w:val="28"/>
                <w:szCs w:val="28"/>
                <w:highlight w:val="none"/>
                <w:u w:val="none"/>
                <w:lang w:val="en-US" w:eastAsia="zh-CN" w:bidi="ar"/>
              </w:rPr>
              <w:t xml:space="preserve">0.0000 </w:t>
            </w:r>
          </w:p>
        </w:tc>
      </w:tr>
    </w:tbl>
    <w:p>
      <w:pPr>
        <w:rPr>
          <w:rFonts w:hint="default" w:ascii="Times New Roman" w:hAnsi="Times New Roman" w:eastAsia="黑体" w:cs="Times New Roman"/>
          <w:b w:val="0"/>
          <w:bCs w:val="0"/>
          <w:color w:val="auto"/>
          <w:kern w:val="44"/>
          <w:szCs w:val="44"/>
          <w:highlight w:val="none"/>
          <w:lang w:val="en-US" w:eastAsia="zh-CN" w:bidi="ar-SA"/>
        </w:rPr>
      </w:pPr>
    </w:p>
    <w:sectPr>
      <w:type w:val="continuous"/>
      <w:pgSz w:w="16838" w:h="11905" w:orient="landscape"/>
      <w:pgMar w:top="1587" w:right="2098" w:bottom="1474" w:left="1984" w:header="850" w:footer="992" w:gutter="0"/>
      <w:pgBorders>
        <w:top w:val="none" w:sz="0" w:space="0"/>
        <w:left w:val="none" w:sz="0" w:space="0"/>
        <w:bottom w:val="none" w:sz="0" w:space="0"/>
        <w:right w:val="none" w:sz="0" w:space="0"/>
      </w:pgBorders>
      <w:pgNumType w:fmt="decimal"/>
      <w:cols w:space="0" w:num="1"/>
      <w:rtlGutter w:val="0"/>
      <w:docGrid w:type="lines"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15C983-BF53-455A-A24A-13DAF1C10C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0A64212-2439-44E4-AD9E-4DA70B068ED5}"/>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3" w:fontKey="{E5A4D749-E052-41FC-963F-409D3B32D5B0}"/>
  </w:font>
  <w:font w:name="楷体">
    <w:panose1 w:val="02010609060101010101"/>
    <w:charset w:val="86"/>
    <w:family w:val="modern"/>
    <w:pitch w:val="default"/>
    <w:sig w:usb0="800002BF" w:usb1="38CF7CFA" w:usb2="00000016" w:usb3="00000000" w:csb0="00040001" w:csb1="00000000"/>
    <w:embedRegular r:id="rId4" w:fontKey="{9C5BDEBB-1636-4EB7-8E57-353E91178334}"/>
  </w:font>
  <w:font w:name="方正公文小标宋">
    <w:altName w:val="宋体"/>
    <w:panose1 w:val="02000500000000000000"/>
    <w:charset w:val="86"/>
    <w:family w:val="auto"/>
    <w:pitch w:val="default"/>
    <w:sig w:usb0="00000000" w:usb1="00000000" w:usb2="00000000" w:usb3="00000000" w:csb0="00000000" w:csb1="00000000"/>
    <w:embedRegular r:id="rId5" w:fontKey="{DBF06EAB-C1AD-44D5-B355-264813ED2CFD}"/>
  </w:font>
  <w:font w:name="仿宋_GB2312">
    <w:panose1 w:val="02010609030101010101"/>
    <w:charset w:val="86"/>
    <w:family w:val="auto"/>
    <w:pitch w:val="default"/>
    <w:sig w:usb0="00000001" w:usb1="080E0000" w:usb2="00000000" w:usb3="00000000" w:csb0="00040000" w:csb1="00000000"/>
    <w:embedRegular r:id="rId6" w:fontKey="{A3A048FC-F0B4-4A32-85B2-E34FB31CD26E}"/>
  </w:font>
  <w:font w:name="楷体_GB2312">
    <w:panose1 w:val="02010609030101010101"/>
    <w:charset w:val="86"/>
    <w:family w:val="auto"/>
    <w:pitch w:val="default"/>
    <w:sig w:usb0="00000001" w:usb1="080E0000" w:usb2="00000000" w:usb3="00000000" w:csb0="00040000" w:csb1="00000000"/>
    <w:embedRegular r:id="rId7" w:fontKey="{9D18D2A8-08EB-4CA9-B897-002C561EC2A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ind w:left="0"/>
      <w:jc w:val="left"/>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ind w:left="0"/>
      <w:jc w:val="left"/>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ind w:left="0"/>
      <w:jc w:val="left"/>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ind w:left="0"/>
      <w:jc w:val="left"/>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none" w:color="auto" w:sz="0" w:space="1"/>
        <w:right w:val="none" w:color="auto" w:sz="0" w:space="0"/>
      </w:pBdr>
      <w:autoSpaceDE/>
      <w:autoSpaceDN/>
      <w:spacing w:before="0" w:after="0" w:line="240" w:lineRule="auto"/>
      <w:ind w:left="0" w:right="0"/>
      <w:jc w:val="both"/>
      <w:outlineLvl w:val="9"/>
      <w:rPr>
        <w:rFonts w:hint="eastAsia" w:asciiTheme="minorHAnsi" w:hAnsiTheme="minorHAnsi" w:eastAsiaTheme="minorEastAsia" w:cstheme="minorBidi"/>
        <w:kern w:val="2"/>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ind w:left="0"/>
      <w:jc w:val="left"/>
      <w:rPr>
        <w:sz w:val="21"/>
        <w:szCs w:val="21"/>
      </w:rPr>
    </w:pPr>
  </w:p>
  <w:p>
    <w:pPr>
      <w:pStyle w:val="7"/>
      <w:spacing w:line="14" w:lineRule="auto"/>
      <w:ind w:left="0"/>
      <w:jc w:val="left"/>
      <w:rPr>
        <w:sz w:val="21"/>
        <w:szCs w:val="21"/>
      </w:rPr>
    </w:pPr>
  </w:p>
  <w:p>
    <w:pPr>
      <w:pStyle w:val="7"/>
      <w:spacing w:line="14" w:lineRule="auto"/>
      <w:ind w:left="0"/>
      <w:jc w:val="left"/>
      <w:rPr>
        <w:sz w:val="21"/>
        <w:szCs w:val="21"/>
      </w:rPr>
    </w:pPr>
  </w:p>
  <w:p>
    <w:pPr>
      <w:pStyle w:val="7"/>
      <w:spacing w:line="14" w:lineRule="auto"/>
      <w:ind w:left="0"/>
      <w:jc w:val="left"/>
      <w:rPr>
        <w:sz w:val="21"/>
        <w:szCs w:val="21"/>
      </w:rPr>
    </w:pPr>
  </w:p>
  <w:p>
    <w:pPr>
      <w:pStyle w:val="7"/>
      <w:spacing w:line="14" w:lineRule="auto"/>
      <w:ind w:left="0"/>
      <w:jc w:val="left"/>
      <w:rPr>
        <w:sz w:val="21"/>
        <w:szCs w:val="21"/>
      </w:rPr>
    </w:pPr>
  </w:p>
  <w:p>
    <w:pPr>
      <w:pStyle w:val="7"/>
      <w:spacing w:line="14" w:lineRule="auto"/>
      <w:ind w:left="0"/>
      <w:jc w:val="lef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107C61"/>
    <w:multiLevelType w:val="singleLevel"/>
    <w:tmpl w:val="59107C61"/>
    <w:lvl w:ilvl="0" w:tentative="0">
      <w:start w:val="1"/>
      <w:numFmt w:val="chineseCounting"/>
      <w:suff w:val="nothing"/>
      <w:lvlText w:val="%1、"/>
      <w:lvlJc w:val="left"/>
      <w:pPr>
        <w:ind w:left="0" w:firstLine="420"/>
      </w:pPr>
      <w:rPr>
        <w:rFonts w:hint="eastAsia" w:ascii="黑体" w:hAnsi="黑体" w:eastAsia="黑体" w:cs="黑体"/>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720"/>
  <w:drawingGridHorizontalSpacing w:val="220"/>
  <w:drawingGridVerticalSpacing w:val="164"/>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lNDA2OGRhY2ExNWQ3ODU2MjcwZjUyMTFlNGNjMzYifQ=="/>
  </w:docVars>
  <w:rsids>
    <w:rsidRoot w:val="00000000"/>
    <w:rsid w:val="003B6CD1"/>
    <w:rsid w:val="004D5807"/>
    <w:rsid w:val="00507CAC"/>
    <w:rsid w:val="00553601"/>
    <w:rsid w:val="00746D50"/>
    <w:rsid w:val="01E12CB8"/>
    <w:rsid w:val="021E3546"/>
    <w:rsid w:val="028001F7"/>
    <w:rsid w:val="02A227A1"/>
    <w:rsid w:val="03096FB8"/>
    <w:rsid w:val="03597303"/>
    <w:rsid w:val="03622291"/>
    <w:rsid w:val="036F3C68"/>
    <w:rsid w:val="03897E38"/>
    <w:rsid w:val="03D7793A"/>
    <w:rsid w:val="03F47B34"/>
    <w:rsid w:val="04351B1E"/>
    <w:rsid w:val="05C82FC5"/>
    <w:rsid w:val="062357F5"/>
    <w:rsid w:val="06375A56"/>
    <w:rsid w:val="076D56ED"/>
    <w:rsid w:val="07893373"/>
    <w:rsid w:val="07A369A2"/>
    <w:rsid w:val="08175CDE"/>
    <w:rsid w:val="08AB6853"/>
    <w:rsid w:val="08D31C98"/>
    <w:rsid w:val="09073ED6"/>
    <w:rsid w:val="095A4129"/>
    <w:rsid w:val="09676A5D"/>
    <w:rsid w:val="097C32FE"/>
    <w:rsid w:val="099D3801"/>
    <w:rsid w:val="09AB27C3"/>
    <w:rsid w:val="09B10AC1"/>
    <w:rsid w:val="09EE2A48"/>
    <w:rsid w:val="0A621193"/>
    <w:rsid w:val="0B4F3BA4"/>
    <w:rsid w:val="0B646ACD"/>
    <w:rsid w:val="0B9572B2"/>
    <w:rsid w:val="0BA90F3D"/>
    <w:rsid w:val="0BD55995"/>
    <w:rsid w:val="0C4572E3"/>
    <w:rsid w:val="0C665488"/>
    <w:rsid w:val="0CAF530C"/>
    <w:rsid w:val="0CB40654"/>
    <w:rsid w:val="0CC01C8A"/>
    <w:rsid w:val="0D33129F"/>
    <w:rsid w:val="0D645222"/>
    <w:rsid w:val="0D7714D4"/>
    <w:rsid w:val="0DDD1307"/>
    <w:rsid w:val="0DE26BAB"/>
    <w:rsid w:val="0DF152CD"/>
    <w:rsid w:val="0E0A401C"/>
    <w:rsid w:val="0E0D5B88"/>
    <w:rsid w:val="0E412690"/>
    <w:rsid w:val="0E627DBD"/>
    <w:rsid w:val="0FBF5D03"/>
    <w:rsid w:val="101E7DE9"/>
    <w:rsid w:val="102C1344"/>
    <w:rsid w:val="102D5D9F"/>
    <w:rsid w:val="110F261A"/>
    <w:rsid w:val="1142665D"/>
    <w:rsid w:val="114E101D"/>
    <w:rsid w:val="118E685C"/>
    <w:rsid w:val="118F7FE9"/>
    <w:rsid w:val="11DE21EE"/>
    <w:rsid w:val="120A5069"/>
    <w:rsid w:val="12663D1B"/>
    <w:rsid w:val="12C31F80"/>
    <w:rsid w:val="12CB6F36"/>
    <w:rsid w:val="13287F73"/>
    <w:rsid w:val="13772CAA"/>
    <w:rsid w:val="139A45BC"/>
    <w:rsid w:val="14086C08"/>
    <w:rsid w:val="14E37374"/>
    <w:rsid w:val="15035321"/>
    <w:rsid w:val="150C344E"/>
    <w:rsid w:val="151D2886"/>
    <w:rsid w:val="154E125C"/>
    <w:rsid w:val="15572875"/>
    <w:rsid w:val="15912E8C"/>
    <w:rsid w:val="15BB0400"/>
    <w:rsid w:val="15DE72FD"/>
    <w:rsid w:val="15EF7B27"/>
    <w:rsid w:val="15F81C87"/>
    <w:rsid w:val="162667E9"/>
    <w:rsid w:val="168626AD"/>
    <w:rsid w:val="16B10C4F"/>
    <w:rsid w:val="17024935"/>
    <w:rsid w:val="1726307A"/>
    <w:rsid w:val="176C4248"/>
    <w:rsid w:val="17847C03"/>
    <w:rsid w:val="179E57D5"/>
    <w:rsid w:val="17A14B0A"/>
    <w:rsid w:val="17A76437"/>
    <w:rsid w:val="18953CCD"/>
    <w:rsid w:val="18D23BDC"/>
    <w:rsid w:val="18D35B39"/>
    <w:rsid w:val="18F50AAD"/>
    <w:rsid w:val="196F567B"/>
    <w:rsid w:val="19BF7096"/>
    <w:rsid w:val="19C16E0E"/>
    <w:rsid w:val="19E76DA6"/>
    <w:rsid w:val="19FD253E"/>
    <w:rsid w:val="1AC468ED"/>
    <w:rsid w:val="1AE73242"/>
    <w:rsid w:val="1B770E93"/>
    <w:rsid w:val="1C0E15A4"/>
    <w:rsid w:val="1C1677D7"/>
    <w:rsid w:val="1C915674"/>
    <w:rsid w:val="1CE369A5"/>
    <w:rsid w:val="1D234A97"/>
    <w:rsid w:val="1D594678"/>
    <w:rsid w:val="1D7A7596"/>
    <w:rsid w:val="1D7E40DE"/>
    <w:rsid w:val="1DDA6E3B"/>
    <w:rsid w:val="1E5A58ED"/>
    <w:rsid w:val="1E6554EB"/>
    <w:rsid w:val="1ED0458A"/>
    <w:rsid w:val="1FAB0C7B"/>
    <w:rsid w:val="1FB9248F"/>
    <w:rsid w:val="1FCA2B27"/>
    <w:rsid w:val="208A6CE1"/>
    <w:rsid w:val="20984465"/>
    <w:rsid w:val="21165BBD"/>
    <w:rsid w:val="2140669F"/>
    <w:rsid w:val="216037FB"/>
    <w:rsid w:val="21A47BB8"/>
    <w:rsid w:val="21E612F7"/>
    <w:rsid w:val="222A65E3"/>
    <w:rsid w:val="22325497"/>
    <w:rsid w:val="2238492F"/>
    <w:rsid w:val="22495FC9"/>
    <w:rsid w:val="228B41AB"/>
    <w:rsid w:val="22927340"/>
    <w:rsid w:val="22C43554"/>
    <w:rsid w:val="22F20B8D"/>
    <w:rsid w:val="23533917"/>
    <w:rsid w:val="23BF71FF"/>
    <w:rsid w:val="23CD3123"/>
    <w:rsid w:val="23DF2F71"/>
    <w:rsid w:val="23F81132"/>
    <w:rsid w:val="254A0D4A"/>
    <w:rsid w:val="25B10871"/>
    <w:rsid w:val="25C37CCE"/>
    <w:rsid w:val="25C85E73"/>
    <w:rsid w:val="25EE19DD"/>
    <w:rsid w:val="262F480D"/>
    <w:rsid w:val="26771CC5"/>
    <w:rsid w:val="26D96544"/>
    <w:rsid w:val="270A0791"/>
    <w:rsid w:val="27130D6B"/>
    <w:rsid w:val="27253BA9"/>
    <w:rsid w:val="274D0BB3"/>
    <w:rsid w:val="27657988"/>
    <w:rsid w:val="27F35F78"/>
    <w:rsid w:val="286456C1"/>
    <w:rsid w:val="294837F2"/>
    <w:rsid w:val="29567CBD"/>
    <w:rsid w:val="299D25AD"/>
    <w:rsid w:val="29A438F6"/>
    <w:rsid w:val="29A671D2"/>
    <w:rsid w:val="29B25112"/>
    <w:rsid w:val="29D86924"/>
    <w:rsid w:val="2A0C5C19"/>
    <w:rsid w:val="2A2C65ED"/>
    <w:rsid w:val="2A793B65"/>
    <w:rsid w:val="2AA3400B"/>
    <w:rsid w:val="2AC14938"/>
    <w:rsid w:val="2B4800A8"/>
    <w:rsid w:val="2BA4352F"/>
    <w:rsid w:val="2C0A7838"/>
    <w:rsid w:val="2C892158"/>
    <w:rsid w:val="2CC500C4"/>
    <w:rsid w:val="2CF84325"/>
    <w:rsid w:val="2D641070"/>
    <w:rsid w:val="2D7777E6"/>
    <w:rsid w:val="2DA763B6"/>
    <w:rsid w:val="2DED3B70"/>
    <w:rsid w:val="2DF9330D"/>
    <w:rsid w:val="2E7C6D05"/>
    <w:rsid w:val="2E9772D3"/>
    <w:rsid w:val="2ECD1C83"/>
    <w:rsid w:val="2F8D38AB"/>
    <w:rsid w:val="307543E3"/>
    <w:rsid w:val="310A17BD"/>
    <w:rsid w:val="310D506B"/>
    <w:rsid w:val="311962DF"/>
    <w:rsid w:val="31981B98"/>
    <w:rsid w:val="324704D9"/>
    <w:rsid w:val="32476D3D"/>
    <w:rsid w:val="32562ADC"/>
    <w:rsid w:val="32AF6EAC"/>
    <w:rsid w:val="32B31CDC"/>
    <w:rsid w:val="332B15A5"/>
    <w:rsid w:val="33C118B2"/>
    <w:rsid w:val="33D4347D"/>
    <w:rsid w:val="33FB59A7"/>
    <w:rsid w:val="345473A4"/>
    <w:rsid w:val="356E3AA5"/>
    <w:rsid w:val="35BE2E72"/>
    <w:rsid w:val="35C51E6D"/>
    <w:rsid w:val="36444B34"/>
    <w:rsid w:val="36A302BA"/>
    <w:rsid w:val="36AD060C"/>
    <w:rsid w:val="36B47691"/>
    <w:rsid w:val="36C24BE4"/>
    <w:rsid w:val="36DB4396"/>
    <w:rsid w:val="36F6488E"/>
    <w:rsid w:val="37117F2E"/>
    <w:rsid w:val="37337890"/>
    <w:rsid w:val="37491E3A"/>
    <w:rsid w:val="37637953"/>
    <w:rsid w:val="37BF5C09"/>
    <w:rsid w:val="37D811A4"/>
    <w:rsid w:val="381E5153"/>
    <w:rsid w:val="38C253D4"/>
    <w:rsid w:val="38CC395A"/>
    <w:rsid w:val="38F32ADF"/>
    <w:rsid w:val="391B682D"/>
    <w:rsid w:val="39452747"/>
    <w:rsid w:val="397B10E3"/>
    <w:rsid w:val="397E7514"/>
    <w:rsid w:val="398E4F65"/>
    <w:rsid w:val="39907A13"/>
    <w:rsid w:val="39A85A15"/>
    <w:rsid w:val="39C95775"/>
    <w:rsid w:val="39C96C75"/>
    <w:rsid w:val="39E245F9"/>
    <w:rsid w:val="39E3559D"/>
    <w:rsid w:val="3A4B1B08"/>
    <w:rsid w:val="3AE63B55"/>
    <w:rsid w:val="3AE86EE8"/>
    <w:rsid w:val="3B062E72"/>
    <w:rsid w:val="3B4B5DF8"/>
    <w:rsid w:val="3BC66F24"/>
    <w:rsid w:val="3CFA7F42"/>
    <w:rsid w:val="3CFB6BA4"/>
    <w:rsid w:val="3D3B5533"/>
    <w:rsid w:val="3D620F49"/>
    <w:rsid w:val="3D931088"/>
    <w:rsid w:val="3D952CB8"/>
    <w:rsid w:val="3DBE0EF2"/>
    <w:rsid w:val="3DC06744"/>
    <w:rsid w:val="3DC54A0B"/>
    <w:rsid w:val="3DE227B3"/>
    <w:rsid w:val="3E014544"/>
    <w:rsid w:val="3EF3324B"/>
    <w:rsid w:val="3F284ED9"/>
    <w:rsid w:val="3F3F385D"/>
    <w:rsid w:val="3FA471FA"/>
    <w:rsid w:val="4042223B"/>
    <w:rsid w:val="404E7933"/>
    <w:rsid w:val="40AC37DF"/>
    <w:rsid w:val="40B279A8"/>
    <w:rsid w:val="40CA4101"/>
    <w:rsid w:val="40E63BC5"/>
    <w:rsid w:val="41171FD0"/>
    <w:rsid w:val="418F11CF"/>
    <w:rsid w:val="41AB79BE"/>
    <w:rsid w:val="42297191"/>
    <w:rsid w:val="428426BF"/>
    <w:rsid w:val="428E3C16"/>
    <w:rsid w:val="42C61EBF"/>
    <w:rsid w:val="42D77636"/>
    <w:rsid w:val="433F523C"/>
    <w:rsid w:val="43C45B40"/>
    <w:rsid w:val="43ED49E4"/>
    <w:rsid w:val="442E1B0B"/>
    <w:rsid w:val="44FD1AD7"/>
    <w:rsid w:val="45052714"/>
    <w:rsid w:val="45602F55"/>
    <w:rsid w:val="4588349D"/>
    <w:rsid w:val="459D192F"/>
    <w:rsid w:val="45BE08A6"/>
    <w:rsid w:val="466D46D7"/>
    <w:rsid w:val="4672453C"/>
    <w:rsid w:val="46AC087B"/>
    <w:rsid w:val="46AE6B15"/>
    <w:rsid w:val="46EC7864"/>
    <w:rsid w:val="46EE5581"/>
    <w:rsid w:val="474C0BB3"/>
    <w:rsid w:val="47D46525"/>
    <w:rsid w:val="48284AC3"/>
    <w:rsid w:val="486A3ABB"/>
    <w:rsid w:val="48BC62BC"/>
    <w:rsid w:val="48F86243"/>
    <w:rsid w:val="49312BD1"/>
    <w:rsid w:val="49356D06"/>
    <w:rsid w:val="49596A2C"/>
    <w:rsid w:val="4968090A"/>
    <w:rsid w:val="49AC6164"/>
    <w:rsid w:val="4A0C6E99"/>
    <w:rsid w:val="4A591C66"/>
    <w:rsid w:val="4A9621B8"/>
    <w:rsid w:val="4AF22F0D"/>
    <w:rsid w:val="4AF65248"/>
    <w:rsid w:val="4B8B7091"/>
    <w:rsid w:val="4B8D3232"/>
    <w:rsid w:val="4BB9615E"/>
    <w:rsid w:val="4BBC001E"/>
    <w:rsid w:val="4C2E2361"/>
    <w:rsid w:val="4C4C5224"/>
    <w:rsid w:val="4CBA113E"/>
    <w:rsid w:val="4D903C6B"/>
    <w:rsid w:val="4DA7667B"/>
    <w:rsid w:val="4DD61B3E"/>
    <w:rsid w:val="4DE959AE"/>
    <w:rsid w:val="4DF82A69"/>
    <w:rsid w:val="4E455ED2"/>
    <w:rsid w:val="4E5169BC"/>
    <w:rsid w:val="4E756FF7"/>
    <w:rsid w:val="4E9F3023"/>
    <w:rsid w:val="4EA537EC"/>
    <w:rsid w:val="4EC41198"/>
    <w:rsid w:val="4EE007EF"/>
    <w:rsid w:val="4F1C3AFD"/>
    <w:rsid w:val="4F907808"/>
    <w:rsid w:val="4FD86DCF"/>
    <w:rsid w:val="4FDB4EEC"/>
    <w:rsid w:val="50053914"/>
    <w:rsid w:val="50C25370"/>
    <w:rsid w:val="50F335B4"/>
    <w:rsid w:val="51050676"/>
    <w:rsid w:val="51721D00"/>
    <w:rsid w:val="52DB4368"/>
    <w:rsid w:val="532B4F58"/>
    <w:rsid w:val="534722A1"/>
    <w:rsid w:val="53A96AB8"/>
    <w:rsid w:val="54436F0C"/>
    <w:rsid w:val="544B226F"/>
    <w:rsid w:val="549260B0"/>
    <w:rsid w:val="550339B3"/>
    <w:rsid w:val="55326C5F"/>
    <w:rsid w:val="55373A31"/>
    <w:rsid w:val="553B53B3"/>
    <w:rsid w:val="558A0B6B"/>
    <w:rsid w:val="55A74133"/>
    <w:rsid w:val="55AB1511"/>
    <w:rsid w:val="55C1776B"/>
    <w:rsid w:val="55CC2F32"/>
    <w:rsid w:val="55D33C3E"/>
    <w:rsid w:val="55D911AB"/>
    <w:rsid w:val="55F71479"/>
    <w:rsid w:val="56022EEC"/>
    <w:rsid w:val="565C24C3"/>
    <w:rsid w:val="56AE3832"/>
    <w:rsid w:val="56C105BC"/>
    <w:rsid w:val="56C87529"/>
    <w:rsid w:val="56EB4A03"/>
    <w:rsid w:val="578F0A19"/>
    <w:rsid w:val="580C7579"/>
    <w:rsid w:val="581B1F10"/>
    <w:rsid w:val="5830066D"/>
    <w:rsid w:val="58750728"/>
    <w:rsid w:val="58822A3D"/>
    <w:rsid w:val="588F2219"/>
    <w:rsid w:val="58C74200"/>
    <w:rsid w:val="5917264B"/>
    <w:rsid w:val="594D25DB"/>
    <w:rsid w:val="59BC7E98"/>
    <w:rsid w:val="59C30560"/>
    <w:rsid w:val="59D33F09"/>
    <w:rsid w:val="59D678D9"/>
    <w:rsid w:val="59DD2DB8"/>
    <w:rsid w:val="59F30F20"/>
    <w:rsid w:val="5AD21616"/>
    <w:rsid w:val="5AE467E4"/>
    <w:rsid w:val="5AE605F2"/>
    <w:rsid w:val="5AF52DBB"/>
    <w:rsid w:val="5B1138F1"/>
    <w:rsid w:val="5B5419FF"/>
    <w:rsid w:val="5C0A7249"/>
    <w:rsid w:val="5C614E03"/>
    <w:rsid w:val="5C9126CB"/>
    <w:rsid w:val="5CBF78EB"/>
    <w:rsid w:val="5CCD2442"/>
    <w:rsid w:val="5CE86F8C"/>
    <w:rsid w:val="5CE95CC1"/>
    <w:rsid w:val="5E13343C"/>
    <w:rsid w:val="5E7778CE"/>
    <w:rsid w:val="5EEE6DB0"/>
    <w:rsid w:val="5F066758"/>
    <w:rsid w:val="5F2D5D73"/>
    <w:rsid w:val="5F655EC4"/>
    <w:rsid w:val="5F7D0F9F"/>
    <w:rsid w:val="5FFA037E"/>
    <w:rsid w:val="60053C9D"/>
    <w:rsid w:val="600F4A8D"/>
    <w:rsid w:val="60251BBC"/>
    <w:rsid w:val="60BE61B8"/>
    <w:rsid w:val="60DB4CCD"/>
    <w:rsid w:val="60E92BEA"/>
    <w:rsid w:val="61656EDF"/>
    <w:rsid w:val="616C7377"/>
    <w:rsid w:val="61894183"/>
    <w:rsid w:val="619507D6"/>
    <w:rsid w:val="622B6B98"/>
    <w:rsid w:val="629F68B2"/>
    <w:rsid w:val="62AC3D93"/>
    <w:rsid w:val="62B227ED"/>
    <w:rsid w:val="62F0234E"/>
    <w:rsid w:val="636711C2"/>
    <w:rsid w:val="642167B4"/>
    <w:rsid w:val="645362DF"/>
    <w:rsid w:val="645E778A"/>
    <w:rsid w:val="64C26696"/>
    <w:rsid w:val="65782C51"/>
    <w:rsid w:val="65B52167"/>
    <w:rsid w:val="65D71AE9"/>
    <w:rsid w:val="66220A20"/>
    <w:rsid w:val="666D423B"/>
    <w:rsid w:val="66B27F22"/>
    <w:rsid w:val="66CD266D"/>
    <w:rsid w:val="673575F5"/>
    <w:rsid w:val="678547B1"/>
    <w:rsid w:val="67862B20"/>
    <w:rsid w:val="67AD25A8"/>
    <w:rsid w:val="67B818F7"/>
    <w:rsid w:val="67BE346E"/>
    <w:rsid w:val="684B3CE5"/>
    <w:rsid w:val="686139AA"/>
    <w:rsid w:val="68F45267"/>
    <w:rsid w:val="69401815"/>
    <w:rsid w:val="69717C20"/>
    <w:rsid w:val="69A60400"/>
    <w:rsid w:val="6A12689C"/>
    <w:rsid w:val="6A6D0661"/>
    <w:rsid w:val="6ABD0882"/>
    <w:rsid w:val="6AD24DAA"/>
    <w:rsid w:val="6ADC0A54"/>
    <w:rsid w:val="6AE007C0"/>
    <w:rsid w:val="6B7E4876"/>
    <w:rsid w:val="6BB169FA"/>
    <w:rsid w:val="6BBB336C"/>
    <w:rsid w:val="6C3557F9"/>
    <w:rsid w:val="6C6F193B"/>
    <w:rsid w:val="6C77379F"/>
    <w:rsid w:val="6C846764"/>
    <w:rsid w:val="6C9C2E87"/>
    <w:rsid w:val="6D5B6DAB"/>
    <w:rsid w:val="6D9F5B1B"/>
    <w:rsid w:val="6DA2484C"/>
    <w:rsid w:val="6E0C7F17"/>
    <w:rsid w:val="6E7D0E15"/>
    <w:rsid w:val="6EB2535F"/>
    <w:rsid w:val="6F054FCC"/>
    <w:rsid w:val="6F955F17"/>
    <w:rsid w:val="6FB7754C"/>
    <w:rsid w:val="6FB9011C"/>
    <w:rsid w:val="6FC7502A"/>
    <w:rsid w:val="6FCB4F62"/>
    <w:rsid w:val="6FCD2805"/>
    <w:rsid w:val="6FDD600F"/>
    <w:rsid w:val="702E458C"/>
    <w:rsid w:val="71957289"/>
    <w:rsid w:val="723A368C"/>
    <w:rsid w:val="72B56572"/>
    <w:rsid w:val="72C270F5"/>
    <w:rsid w:val="72DE6BA4"/>
    <w:rsid w:val="73045661"/>
    <w:rsid w:val="7326389A"/>
    <w:rsid w:val="73753E18"/>
    <w:rsid w:val="74312486"/>
    <w:rsid w:val="744627FC"/>
    <w:rsid w:val="74C75601"/>
    <w:rsid w:val="74DB208F"/>
    <w:rsid w:val="754F75A7"/>
    <w:rsid w:val="756D2FAE"/>
    <w:rsid w:val="75773676"/>
    <w:rsid w:val="75A82C1C"/>
    <w:rsid w:val="75BC21C8"/>
    <w:rsid w:val="75CB06B8"/>
    <w:rsid w:val="75E5711B"/>
    <w:rsid w:val="763C1E74"/>
    <w:rsid w:val="766609D3"/>
    <w:rsid w:val="76791F2C"/>
    <w:rsid w:val="76A84059"/>
    <w:rsid w:val="76D4794C"/>
    <w:rsid w:val="77132317"/>
    <w:rsid w:val="7798187E"/>
    <w:rsid w:val="77E04B24"/>
    <w:rsid w:val="77F407FA"/>
    <w:rsid w:val="78556638"/>
    <w:rsid w:val="78911745"/>
    <w:rsid w:val="78DE4CF4"/>
    <w:rsid w:val="790A57D8"/>
    <w:rsid w:val="790C6776"/>
    <w:rsid w:val="79373D76"/>
    <w:rsid w:val="798840EE"/>
    <w:rsid w:val="799A1744"/>
    <w:rsid w:val="79AB76A4"/>
    <w:rsid w:val="79ED6619"/>
    <w:rsid w:val="7A326F58"/>
    <w:rsid w:val="7A43516D"/>
    <w:rsid w:val="7A5F4D56"/>
    <w:rsid w:val="7A6F1F5A"/>
    <w:rsid w:val="7AAA11E4"/>
    <w:rsid w:val="7B0614CE"/>
    <w:rsid w:val="7B4C229B"/>
    <w:rsid w:val="7B956F9E"/>
    <w:rsid w:val="7BAE1B6F"/>
    <w:rsid w:val="7BCF7261"/>
    <w:rsid w:val="7C262D92"/>
    <w:rsid w:val="7C52757E"/>
    <w:rsid w:val="7C66125B"/>
    <w:rsid w:val="7CCF208C"/>
    <w:rsid w:val="7E0264C6"/>
    <w:rsid w:val="7E801EB9"/>
    <w:rsid w:val="7E8C291E"/>
    <w:rsid w:val="7EAB6CA8"/>
    <w:rsid w:val="7EB7255C"/>
    <w:rsid w:val="7F1369DB"/>
    <w:rsid w:val="7F4A4D43"/>
    <w:rsid w:val="7F8C2994"/>
    <w:rsid w:val="7FB000AE"/>
    <w:rsid w:val="7FB447E5"/>
    <w:rsid w:val="7FC543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spacing w:line="571" w:lineRule="exact"/>
      <w:ind w:left="1120"/>
      <w:outlineLvl w:val="0"/>
    </w:pPr>
    <w:rPr>
      <w:rFonts w:ascii="微软雅黑" w:hAnsi="微软雅黑" w:eastAsia="仿宋" w:cs="微软雅黑"/>
      <w:b/>
      <w:bCs/>
      <w:sz w:val="32"/>
      <w:szCs w:val="32"/>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autoSpaceDE w:val="0"/>
      <w:autoSpaceDN w:val="0"/>
      <w:adjustRightInd w:val="0"/>
      <w:spacing w:before="280" w:after="290" w:line="376" w:lineRule="atLeast"/>
      <w:textAlignment w:val="baseline"/>
      <w:outlineLvl w:val="3"/>
    </w:pPr>
    <w:rPr>
      <w:rFonts w:ascii="Arial" w:hAnsi="Arial" w:eastAsia="黑体"/>
      <w:b/>
      <w:kern w:val="0"/>
      <w:sz w:val="30"/>
    </w:rPr>
  </w:style>
  <w:style w:type="character" w:default="1" w:styleId="16">
    <w:name w:val="Default Paragraph Font"/>
    <w:semiHidden/>
    <w:unhideWhenUsed/>
    <w:qFormat/>
    <w:uiPriority w:val="1"/>
  </w:style>
  <w:style w:type="table" w:default="1" w:styleId="1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7">
    <w:name w:val="Body Text"/>
    <w:basedOn w:val="1"/>
    <w:qFormat/>
    <w:uiPriority w:val="1"/>
    <w:pPr>
      <w:ind w:left="1120"/>
      <w:jc w:val="both"/>
    </w:pPr>
    <w:rPr>
      <w:rFonts w:ascii="宋体" w:hAnsi="宋体" w:eastAsia="宋体" w:cs="宋体"/>
      <w:sz w:val="32"/>
      <w:szCs w:val="32"/>
      <w:lang w:val="zh-CN" w:eastAsia="zh-CN" w:bidi="zh-CN"/>
    </w:rPr>
  </w:style>
  <w:style w:type="paragraph" w:styleId="8">
    <w:name w:val="Body Text Indent"/>
    <w:basedOn w:val="1"/>
    <w:qFormat/>
    <w:uiPriority w:val="0"/>
    <w:pPr>
      <w:spacing w:after="120" w:afterLines="0"/>
      <w:ind w:left="420" w:leftChars="200"/>
    </w:pPr>
  </w:style>
  <w:style w:type="paragraph" w:styleId="9">
    <w:name w:val="toc 3"/>
    <w:basedOn w:val="1"/>
    <w:next w:val="1"/>
    <w:qFormat/>
    <w:uiPriority w:val="0"/>
    <w:pPr>
      <w:ind w:left="840" w:leftChars="4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1"/>
    <w:pPr>
      <w:spacing w:before="111"/>
      <w:ind w:left="1120"/>
    </w:pPr>
    <w:rPr>
      <w:rFonts w:ascii="微软雅黑" w:hAnsi="微软雅黑" w:eastAsia="微软雅黑" w:cs="微软雅黑"/>
      <w:b/>
      <w:bCs/>
      <w:sz w:val="32"/>
      <w:szCs w:val="32"/>
      <w:lang w:val="zh-CN" w:eastAsia="zh-CN" w:bidi="zh-CN"/>
    </w:rPr>
  </w:style>
  <w:style w:type="paragraph" w:styleId="13">
    <w:name w:val="toc 2"/>
    <w:basedOn w:val="1"/>
    <w:next w:val="1"/>
    <w:qFormat/>
    <w:uiPriority w:val="1"/>
    <w:pPr>
      <w:spacing w:before="214"/>
      <w:ind w:left="1540"/>
    </w:pPr>
    <w:rPr>
      <w:rFonts w:ascii="宋体" w:hAnsi="宋体" w:eastAsia="宋体" w:cs="宋体"/>
      <w:sz w:val="32"/>
      <w:szCs w:val="32"/>
      <w:lang w:val="zh-CN" w:eastAsia="zh-CN" w:bidi="zh-CN"/>
    </w:rPr>
  </w:style>
  <w:style w:type="paragraph" w:styleId="14">
    <w:name w:val="Body Text First Indent 2"/>
    <w:basedOn w:val="8"/>
    <w:next w:val="1"/>
    <w:qFormat/>
    <w:uiPriority w:val="0"/>
    <w:pPr>
      <w:ind w:firstLine="1012" w:firstLineChars="200"/>
    </w:pPr>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pPr>
      <w:ind w:left="1120" w:firstLine="640"/>
    </w:pPr>
    <w:rPr>
      <w:rFonts w:ascii="宋体" w:hAnsi="宋体" w:eastAsia="仿宋"/>
    </w:rPr>
  </w:style>
  <w:style w:type="paragraph" w:customStyle="1" w:styleId="19">
    <w:name w:val="Table Paragraph"/>
    <w:basedOn w:val="1"/>
    <w:qFormat/>
    <w:uiPriority w:val="1"/>
    <w:pPr>
      <w:spacing w:before="90"/>
      <w:ind w:left="88"/>
      <w:jc w:val="center"/>
    </w:pPr>
    <w:rPr>
      <w:rFonts w:ascii="宋体" w:hAnsi="宋体" w:eastAsia="宋体" w:cs="宋体"/>
      <w:lang w:val="zh-CN" w:eastAsia="zh-CN" w:bidi="zh-CN"/>
    </w:rPr>
  </w:style>
  <w:style w:type="character" w:customStyle="1" w:styleId="20">
    <w:name w:val="font21"/>
    <w:basedOn w:val="16"/>
    <w:qFormat/>
    <w:uiPriority w:val="0"/>
    <w:rPr>
      <w:rFonts w:hint="eastAsia" w:ascii="宋体" w:hAnsi="宋体" w:eastAsia="宋体" w:cs="宋体"/>
      <w:b/>
      <w:bCs/>
      <w:color w:val="000000"/>
      <w:sz w:val="24"/>
      <w:szCs w:val="24"/>
      <w:u w:val="none"/>
    </w:rPr>
  </w:style>
  <w:style w:type="character" w:customStyle="1" w:styleId="21">
    <w:name w:val="font41"/>
    <w:basedOn w:val="16"/>
    <w:qFormat/>
    <w:uiPriority w:val="0"/>
    <w:rPr>
      <w:rFonts w:ascii="Calibri" w:hAnsi="Calibri" w:cs="Calibri"/>
      <w:b/>
      <w:bCs/>
      <w:color w:val="000000"/>
      <w:sz w:val="24"/>
      <w:szCs w:val="24"/>
      <w:u w:val="none"/>
    </w:rPr>
  </w:style>
  <w:style w:type="paragraph" w:customStyle="1" w:styleId="22">
    <w:name w:val="WPSOffice手动目录 1"/>
    <w:qFormat/>
    <w:uiPriority w:val="0"/>
    <w:pPr>
      <w:ind w:leftChars="0"/>
    </w:pPr>
    <w:rPr>
      <w:rFonts w:ascii="Times New Roman" w:hAnsi="Times New Roman" w:eastAsia="宋体" w:cs="Times New Roman"/>
      <w:sz w:val="20"/>
      <w:szCs w:val="20"/>
    </w:rPr>
  </w:style>
  <w:style w:type="paragraph" w:customStyle="1" w:styleId="23">
    <w:name w:val="WPSOffice手动目录 2"/>
    <w:qFormat/>
    <w:uiPriority w:val="0"/>
    <w:pPr>
      <w:ind w:leftChars="200"/>
    </w:pPr>
    <w:rPr>
      <w:rFonts w:ascii="Times New Roman" w:hAnsi="Times New Roman" w:eastAsia="宋体" w:cs="Times New Roman"/>
      <w:sz w:val="20"/>
      <w:szCs w:val="20"/>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5">
    <w:name w:val="font51"/>
    <w:basedOn w:val="16"/>
    <w:qFormat/>
    <w:uiPriority w:val="0"/>
    <w:rPr>
      <w:rFonts w:hint="default" w:ascii="Times New Roman" w:hAnsi="Times New Roman" w:cs="Times New Roman"/>
      <w:color w:val="000000"/>
      <w:sz w:val="32"/>
      <w:szCs w:val="32"/>
      <w:u w:val="none"/>
    </w:rPr>
  </w:style>
  <w:style w:type="character" w:customStyle="1" w:styleId="26">
    <w:name w:val="font11"/>
    <w:basedOn w:val="16"/>
    <w:qFormat/>
    <w:uiPriority w:val="0"/>
    <w:rPr>
      <w:rFonts w:hint="eastAsia" w:ascii="黑体" w:hAnsi="宋体" w:eastAsia="黑体" w:cs="黑体"/>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3558</Words>
  <Characters>3930</Characters>
  <TotalTime>0</TotalTime>
  <ScaleCrop>false</ScaleCrop>
  <LinksUpToDate>false</LinksUpToDate>
  <CharactersWithSpaces>3967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2021-06-28T06:16:00Z</dcterms:created>
  <dc:creator>Admin</dc:creator>
  <cp:lastModifiedBy>研究究</cp:lastModifiedBy>
  <dcterms:modified xsi:type="dcterms:W3CDTF">2023-01-11T02:31:54Z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2021-06-11T00:00:00Z</vt:filetime>
  </property>
  <property fmtid="{D5CDD505-2E9C-101B-9397-08002B2CF9AE}" pid="3" name="Creator">
    <vt:lpwstr>WPS 文字</vt:lpwstr>
  </property>
  <property fmtid="{D5CDD505-2E9C-101B-9397-08002B2CF9AE}" pid="4" name="LastSaved">
    <vt:filetime>2021-06-28T00:00:00Z</vt:filetime>
  </property>
  <property fmtid="{D5CDD505-2E9C-101B-9397-08002B2CF9AE}" pid="5" name="KSOProductBuildVer">
    <vt:lpwstr>2052-11.1.0.12980</vt:lpwstr>
  </property>
  <property fmtid="{D5CDD505-2E9C-101B-9397-08002B2CF9AE}" pid="6" name="ICV">
    <vt:lpwstr>3C1FF87910AF43F381EA0574C05654BF</vt:lpwstr>
  </property>
  <property fmtid="{D5CDD505-2E9C-101B-9397-08002B2CF9AE}" pid="7" name="commondata">
    <vt:lpwstr>eyJoZGlkIjoiZTljYTQ5ODViNjI2YWMzYjcyMWNiODBkM2Q0MTYyNDAifQ==</vt:lpwstr>
  </property>
</Properties>
</file>