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Style w:val="5"/>
        <w:jc w:val="center"/>
        <w:rPr>
          <w:rFonts w:ascii="Times New Roman" w:hAnsi="Times New Roman" w:eastAsia="宋体" w:cs="Times New Roman"/>
        </w:rPr>
      </w:pPr>
      <w:r>
        <w:rPr>
          <w:rFonts w:ascii="Times New Roman" w:hAnsi="Times New Roman" w:eastAsia="宋体" w:cs="Times New Roman"/>
        </w:rPr>
        <w:t>仙游县2022年度第</w:t>
      </w:r>
      <w:r>
        <w:rPr>
          <w:rFonts w:hint="eastAsia" w:ascii="Times New Roman" w:hAnsi="Times New Roman" w:eastAsia="宋体" w:cs="Times New Roman"/>
          <w:lang w:eastAsia="zh-CN"/>
        </w:rPr>
        <w:t>十六</w:t>
      </w:r>
      <w:r>
        <w:rPr>
          <w:rFonts w:ascii="Times New Roman" w:hAnsi="Times New Roman" w:eastAsia="宋体" w:cs="Times New Roman"/>
        </w:rPr>
        <w:t>批次土地征收成片开发方案（</w:t>
      </w:r>
      <w:r>
        <w:rPr>
          <w:rFonts w:hint="eastAsia" w:ascii="Times New Roman" w:hAnsi="Times New Roman" w:eastAsia="宋体" w:cs="Times New Roman"/>
          <w:lang w:eastAsia="zh-CN"/>
        </w:rPr>
        <w:t>龙华镇绿色食品小微产业园</w:t>
      </w:r>
      <w:r>
        <w:rPr>
          <w:rFonts w:ascii="Times New Roman" w:hAnsi="Times New Roman" w:eastAsia="宋体" w:cs="Times New Roman"/>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三五年远景目标纲要》编制《仙游县2022年度第</w:t>
      </w:r>
      <w:r>
        <w:rPr>
          <w:rFonts w:hint="eastAsia" w:ascii="Times New Roman" w:hAnsi="Times New Roman" w:eastAsia="仿宋_GB2312" w:cs="Times New Roman"/>
          <w:kern w:val="0"/>
          <w:sz w:val="31"/>
          <w:szCs w:val="31"/>
          <w:lang w:eastAsia="zh-CN" w:bidi="ar"/>
        </w:rPr>
        <w:t>十六</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eastAsia="zh-CN" w:bidi="ar"/>
        </w:rPr>
        <w:t>龙华镇绿色食品小微产业园</w:t>
      </w:r>
      <w:r>
        <w:rPr>
          <w:rFonts w:ascii="Times New Roman" w:hAnsi="Times New Roman" w:eastAsia="仿宋_GB2312" w:cs="Times New Roman"/>
          <w:kern w:val="0"/>
          <w:sz w:val="31"/>
          <w:szCs w:val="31"/>
          <w:lang w:bidi="ar"/>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园庄镇塔兜村</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2</w:t>
      </w:r>
      <w:r>
        <w:rPr>
          <w:rFonts w:ascii="Times New Roman" w:hAnsi="Times New Roman" w:eastAsia="仿宋_GB2312" w:cs="Times New Roman"/>
          <w:kern w:val="0"/>
          <w:sz w:val="31"/>
          <w:szCs w:val="31"/>
          <w:lang w:bidi="ar"/>
        </w:rPr>
        <w:t>个镇</w:t>
      </w:r>
      <w:r>
        <w:rPr>
          <w:rFonts w:hint="eastAsia" w:ascii="Times New Roman" w:hAnsi="Times New Roman" w:eastAsia="仿宋_GB2312" w:cs="Times New Roman"/>
          <w:kern w:val="0"/>
          <w:sz w:val="31"/>
          <w:szCs w:val="31"/>
          <w:lang w:val="en-US" w:eastAsia="zh-CN" w:bidi="ar"/>
        </w:rPr>
        <w:t>2</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村</w:t>
      </w:r>
      <w:r>
        <w:rPr>
          <w:rFonts w:ascii="Times New Roman" w:hAnsi="Times New Roman" w:eastAsia="仿宋_GB2312" w:cs="Times New Roman"/>
          <w:kern w:val="0"/>
          <w:sz w:val="31"/>
          <w:szCs w:val="31"/>
          <w:lang w:bidi="ar"/>
        </w:rPr>
        <w:t>；涉及1个国有单位，不涉及省级和国家级开发区。</w:t>
      </w:r>
    </w:p>
    <w:p>
      <w:pPr>
        <w:widowControl/>
        <w:tabs>
          <w:tab w:val="left" w:pos="2730"/>
        </w:tabs>
        <w:ind w:firstLine="640" w:firstLineChars="200"/>
        <w:jc w:val="left"/>
        <w:outlineLvl w:val="1"/>
        <w:rPr>
          <w:rFonts w:eastAsia="仿宋_GB2312"/>
          <w:sz w:val="32"/>
          <w:szCs w:val="32"/>
          <w:highlight w:val="none"/>
        </w:rPr>
      </w:pPr>
      <w:r>
        <w:rPr>
          <w:rFonts w:eastAsia="仿宋_GB2312"/>
          <w:sz w:val="32"/>
          <w:szCs w:val="32"/>
          <w:highlight w:val="none"/>
        </w:rPr>
        <w:t>本方案成片开发范围总面积</w:t>
      </w:r>
      <w:r>
        <w:rPr>
          <w:rFonts w:hint="eastAsia" w:eastAsia="仿宋_GB2312"/>
          <w:sz w:val="32"/>
          <w:szCs w:val="32"/>
          <w:highlight w:val="none"/>
        </w:rPr>
        <w:t>9.9664</w:t>
      </w:r>
      <w:r>
        <w:rPr>
          <w:rFonts w:eastAsia="仿宋_GB2312"/>
          <w:sz w:val="32"/>
          <w:szCs w:val="32"/>
          <w:highlight w:val="none"/>
        </w:rPr>
        <w:t>公顷。其中，农用地</w:t>
      </w:r>
      <w:r>
        <w:rPr>
          <w:rFonts w:hint="eastAsia" w:eastAsia="仿宋_GB2312"/>
          <w:sz w:val="32"/>
          <w:szCs w:val="32"/>
          <w:highlight w:val="none"/>
        </w:rPr>
        <w:t>9.</w:t>
      </w:r>
      <w:r>
        <w:rPr>
          <w:rFonts w:hint="eastAsia" w:eastAsia="仿宋_GB2312"/>
          <w:sz w:val="32"/>
          <w:szCs w:val="32"/>
          <w:highlight w:val="none"/>
          <w:lang w:val="en-US" w:eastAsia="zh-CN"/>
        </w:rPr>
        <w:t>7394</w:t>
      </w:r>
      <w:r>
        <w:rPr>
          <w:rFonts w:eastAsia="仿宋_GB2312"/>
          <w:sz w:val="32"/>
          <w:szCs w:val="32"/>
          <w:highlight w:val="none"/>
        </w:rPr>
        <w:t>公顷（其中耕地</w:t>
      </w:r>
      <w:r>
        <w:rPr>
          <w:rFonts w:hint="eastAsia" w:eastAsia="仿宋_GB2312"/>
          <w:sz w:val="32"/>
          <w:szCs w:val="32"/>
          <w:highlight w:val="none"/>
          <w:lang w:val="en-US" w:eastAsia="zh-CN"/>
        </w:rPr>
        <w:t>4.3326</w:t>
      </w:r>
      <w:r>
        <w:rPr>
          <w:rFonts w:eastAsia="仿宋_GB2312"/>
          <w:sz w:val="32"/>
          <w:szCs w:val="32"/>
          <w:highlight w:val="none"/>
        </w:rPr>
        <w:t>公顷），建设用地</w:t>
      </w:r>
      <w:r>
        <w:rPr>
          <w:rFonts w:hint="eastAsia" w:eastAsia="仿宋_GB2312"/>
          <w:sz w:val="32"/>
          <w:szCs w:val="32"/>
          <w:highlight w:val="none"/>
          <w:lang w:val="en-US" w:eastAsia="zh-CN"/>
        </w:rPr>
        <w:t>0.2270</w:t>
      </w:r>
      <w:r>
        <w:rPr>
          <w:rFonts w:eastAsia="仿宋_GB2312"/>
          <w:sz w:val="32"/>
          <w:szCs w:val="32"/>
          <w:highlight w:val="none"/>
        </w:rPr>
        <w:t>公顷，</w:t>
      </w:r>
      <w:r>
        <w:rPr>
          <w:rFonts w:hint="eastAsia" w:eastAsia="仿宋_GB2312"/>
          <w:sz w:val="32"/>
          <w:szCs w:val="32"/>
          <w:highlight w:val="none"/>
          <w:lang w:eastAsia="zh-CN"/>
        </w:rPr>
        <w:t>不涉及</w:t>
      </w:r>
      <w:r>
        <w:rPr>
          <w:rFonts w:eastAsia="仿宋_GB2312"/>
          <w:sz w:val="32"/>
          <w:szCs w:val="32"/>
          <w:highlight w:val="none"/>
        </w:rPr>
        <w:t>未利用地。</w:t>
      </w:r>
    </w:p>
    <w:p>
      <w:pPr>
        <w:widowControl/>
        <w:tabs>
          <w:tab w:val="left" w:pos="2730"/>
        </w:tabs>
        <w:ind w:firstLine="620" w:firstLineChars="200"/>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三、项目的必要性</w:t>
      </w:r>
    </w:p>
    <w:p>
      <w:pPr>
        <w:snapToGrid w:val="0"/>
        <w:spacing w:line="600" w:lineRule="exact"/>
        <w:ind w:firstLine="643" w:firstLineChars="200"/>
        <w:rPr>
          <w:rFonts w:hint="eastAsia" w:eastAsia="仿宋"/>
          <w:sz w:val="32"/>
          <w:szCs w:val="32"/>
          <w:lang w:eastAsia="zh-CN"/>
        </w:rPr>
      </w:pPr>
      <w:r>
        <w:rPr>
          <w:rFonts w:hint="eastAsia" w:eastAsia="仿宋"/>
          <w:b/>
          <w:sz w:val="32"/>
          <w:szCs w:val="32"/>
          <w:lang w:val="en-US" w:eastAsia="zh-CN"/>
        </w:rPr>
        <w:t>(一)</w:t>
      </w:r>
      <w:r>
        <w:rPr>
          <w:rFonts w:hint="eastAsia" w:eastAsia="仿宋"/>
          <w:b/>
          <w:sz w:val="32"/>
          <w:szCs w:val="32"/>
        </w:rPr>
        <w:t>建设小微产业园</w:t>
      </w:r>
      <w:r>
        <w:rPr>
          <w:rFonts w:hint="eastAsia" w:eastAsia="仿宋"/>
          <w:b/>
          <w:sz w:val="32"/>
          <w:szCs w:val="32"/>
          <w:lang w:eastAsia="zh-CN"/>
        </w:rPr>
        <w:t>，搭建企业发展优良平台</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小微企业是科技创新最为活跃和最具潜力的群体，激发小型微型企业发展活力，对提高区域创新水平，支撑经济发展，深化国家创新体系建设具有十分重要的意义</w:t>
      </w:r>
      <w:r>
        <w:rPr>
          <w:rFonts w:eastAsia="仿宋_GB2312"/>
          <w:sz w:val="32"/>
          <w:szCs w:val="32"/>
        </w:rPr>
        <w:t>。</w:t>
      </w:r>
      <w:r>
        <w:rPr>
          <w:rFonts w:hint="eastAsia" w:eastAsia="仿宋_GB2312"/>
          <w:sz w:val="32"/>
          <w:szCs w:val="32"/>
        </w:rPr>
        <w:t>十八大报告提出“支持小微企业发展”，“促进创新资源高效配置和综合集成，把全社会智慧和力量凝聚到创新发展上来”</w:t>
      </w:r>
      <w:r>
        <w:rPr>
          <w:rFonts w:hint="eastAsia" w:eastAsia="仿宋_GB2312"/>
          <w:sz w:val="32"/>
          <w:szCs w:val="32"/>
          <w:lang w:eastAsia="zh-CN"/>
        </w:rPr>
        <w:t>，</w:t>
      </w:r>
      <w:r>
        <w:rPr>
          <w:rFonts w:hint="eastAsia" w:eastAsia="仿宋_GB2312"/>
          <w:sz w:val="32"/>
          <w:szCs w:val="32"/>
        </w:rPr>
        <w:t>建设小微产业园是增强经济发展活力的重要抓手。小微企业是经济发展的活力源泉，更是经济高质量发展的根基，在稳增长、扩就业、促创新等方面发挥着重要作用。长期以来，我县小微企业大多处于产业链与价值链的低端，面临产业层次低、布局分散、市场竞争力弱等问题，</w:t>
      </w:r>
      <w:r>
        <w:rPr>
          <w:rFonts w:hint="eastAsia" w:eastAsia="仿宋_GB2312"/>
          <w:sz w:val="32"/>
          <w:szCs w:val="32"/>
          <w:lang w:eastAsia="zh-CN"/>
        </w:rPr>
        <w:t>通过建设小微产业园，推行专业化物业管理模式，引入所有权与经营权分离的园区工业物业管理模式，可</w:t>
      </w:r>
      <w:r>
        <w:rPr>
          <w:rFonts w:hint="eastAsia" w:ascii="Times New Roman" w:hAnsi="Times New Roman" w:eastAsia="仿宋_GB2312" w:cs="Times New Roman"/>
          <w:sz w:val="32"/>
          <w:szCs w:val="32"/>
          <w:lang w:eastAsia="zh-CN"/>
        </w:rPr>
        <w:t>形成了规模化、模块化、集中化的有完整产业链的小微企业集群，打造更贴近市场需求、更专业化的小微企业园区，为全县小微企业发展提供优良平台。</w:t>
      </w:r>
    </w:p>
    <w:p>
      <w:pPr>
        <w:snapToGrid w:val="0"/>
        <w:spacing w:line="600" w:lineRule="exact"/>
        <w:ind w:firstLine="643" w:firstLineChars="200"/>
        <w:rPr>
          <w:rFonts w:eastAsia="仿宋"/>
          <w:b/>
          <w:sz w:val="32"/>
          <w:szCs w:val="32"/>
        </w:rPr>
      </w:pPr>
      <w:r>
        <w:rPr>
          <w:rFonts w:hint="eastAsia" w:eastAsia="仿宋"/>
          <w:b/>
          <w:sz w:val="32"/>
          <w:szCs w:val="32"/>
          <w:lang w:eastAsia="zh-CN"/>
        </w:rPr>
        <w:t>（二）</w:t>
      </w:r>
      <w:r>
        <w:rPr>
          <w:rFonts w:hint="eastAsia" w:eastAsia="仿宋"/>
          <w:b/>
          <w:sz w:val="32"/>
          <w:szCs w:val="32"/>
        </w:rPr>
        <w:t>提高亩均产出效率，解决发展空间不足问题</w:t>
      </w:r>
    </w:p>
    <w:p>
      <w:pPr>
        <w:adjustRightInd w:val="0"/>
        <w:snapToGrid w:val="0"/>
        <w:spacing w:line="600" w:lineRule="exact"/>
        <w:ind w:firstLine="640" w:firstLineChars="200"/>
      </w:pPr>
      <w:r>
        <w:rPr>
          <w:rFonts w:hint="eastAsia" w:eastAsia="仿宋_GB2312"/>
          <w:sz w:val="32"/>
          <w:szCs w:val="32"/>
        </w:rPr>
        <w:t>长期以来，我县小微企业发展存在缺空间、缺规范、缺服务、缺要素等突出问题，“小散乱”现象较明显，发展空间不够、经济蓄力不足等问题，长期困扰着小微企业。新形势下，加快小微企业高质量发展迫在眉睫。我县不少小微企业没有自己的厂房，为了生产，其中一些以家庭作坊式发展，往往乱搭乱建，形成“两违”且存在较大安全隐患，土地要素已成为我</w:t>
      </w:r>
      <w:r>
        <w:rPr>
          <w:rFonts w:hint="eastAsia" w:eastAsia="仿宋_GB2312"/>
          <w:sz w:val="32"/>
          <w:szCs w:val="32"/>
          <w:lang w:eastAsia="zh-CN"/>
        </w:rPr>
        <w:t>县</w:t>
      </w:r>
      <w:r>
        <w:rPr>
          <w:rFonts w:hint="eastAsia" w:eastAsia="仿宋_GB2312"/>
          <w:sz w:val="32"/>
          <w:szCs w:val="32"/>
        </w:rPr>
        <w:t>小微企业成长的拦路虎。让小微企业入园，通过“腾笼换鸟”，既解决了发展空间不够问题，又能</w:t>
      </w:r>
      <w:r>
        <w:rPr>
          <w:rFonts w:hint="eastAsia" w:eastAsia="仿宋_GB2312"/>
          <w:sz w:val="32"/>
          <w:szCs w:val="32"/>
          <w:lang w:eastAsia="zh-CN"/>
        </w:rPr>
        <w:t>节约</w:t>
      </w:r>
      <w:r>
        <w:rPr>
          <w:rFonts w:hint="eastAsia" w:eastAsia="仿宋_GB2312"/>
          <w:sz w:val="32"/>
          <w:szCs w:val="32"/>
        </w:rPr>
        <w:t>集约利用土地。小微企业园作为企业集聚、产业集群、要素集约、服务集中的重要载体和抓手，使其能够以低成本、高效率融入市场、投资创业、发展壮大。通过规划引领、政策创新、模式优化、环境营造，赋予其内在生命力，打造传统产业升级、企业创业创新的沃土。提高亩均产出效率，解决发展空间不足问题同时，降低单位建筑面积能耗。</w:t>
      </w:r>
    </w:p>
    <w:p>
      <w:pPr>
        <w:snapToGrid w:val="0"/>
        <w:spacing w:line="600" w:lineRule="exact"/>
        <w:ind w:firstLine="643" w:firstLineChars="200"/>
        <w:rPr>
          <w:rFonts w:eastAsia="仿宋"/>
          <w:b/>
          <w:sz w:val="32"/>
          <w:szCs w:val="32"/>
        </w:rPr>
      </w:pPr>
      <w:r>
        <w:rPr>
          <w:rFonts w:hint="eastAsia" w:eastAsia="仿宋"/>
          <w:b/>
          <w:sz w:val="32"/>
          <w:szCs w:val="32"/>
          <w:lang w:eastAsia="zh-CN"/>
        </w:rPr>
        <w:t>（三）</w:t>
      </w:r>
      <w:r>
        <w:rPr>
          <w:rFonts w:hint="eastAsia" w:eastAsia="仿宋"/>
          <w:b/>
          <w:sz w:val="32"/>
          <w:szCs w:val="32"/>
        </w:rPr>
        <w:t>引领带动现代农业加速提质增效，促进乡村振兴</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龙华镇作为</w:t>
      </w:r>
      <w:r>
        <w:rPr>
          <w:rFonts w:hint="eastAsia" w:eastAsia="仿宋_GB2312"/>
          <w:sz w:val="32"/>
          <w:szCs w:val="32"/>
          <w:lang w:eastAsia="zh-CN"/>
        </w:rPr>
        <w:t>我县的</w:t>
      </w:r>
      <w:r>
        <w:rPr>
          <w:rFonts w:hint="eastAsia" w:eastAsia="仿宋_GB2312"/>
          <w:sz w:val="32"/>
          <w:szCs w:val="32"/>
        </w:rPr>
        <w:t>农业大镇</w:t>
      </w:r>
      <w:r>
        <w:rPr>
          <w:rFonts w:hint="eastAsia" w:eastAsia="仿宋_GB2312"/>
          <w:sz w:val="32"/>
          <w:szCs w:val="32"/>
          <w:lang w:eastAsia="zh-CN"/>
        </w:rPr>
        <w:t>，</w:t>
      </w:r>
      <w:r>
        <w:rPr>
          <w:rFonts w:hint="eastAsia" w:eastAsia="仿宋_GB2312"/>
          <w:sz w:val="32"/>
          <w:szCs w:val="32"/>
        </w:rPr>
        <w:t>是莆田市最大的茶叶生产、加工、销售基地，“金沙薏米”先后荣获全国名特优新农产品、国家地理标志产品保护等多项荣誉</w:t>
      </w:r>
      <w:r>
        <w:rPr>
          <w:rFonts w:hint="eastAsia" w:eastAsia="仿宋_GB2312"/>
          <w:sz w:val="32"/>
          <w:szCs w:val="32"/>
          <w:lang w:eastAsia="zh-CN"/>
        </w:rPr>
        <w:t>，</w:t>
      </w:r>
      <w:r>
        <w:rPr>
          <w:rFonts w:hint="eastAsia" w:eastAsia="仿宋_GB2312"/>
          <w:sz w:val="32"/>
          <w:szCs w:val="32"/>
        </w:rPr>
        <w:t>全镇现有薏米标准化种植基地1万亩，年产量可达3000吨。</w:t>
      </w:r>
      <w:r>
        <w:rPr>
          <w:rFonts w:eastAsia="仿宋_GB2312"/>
          <w:sz w:val="32"/>
          <w:szCs w:val="32"/>
        </w:rPr>
        <w:t>本</w:t>
      </w:r>
      <w:r>
        <w:rPr>
          <w:rFonts w:hint="eastAsia" w:eastAsia="仿宋_GB2312"/>
          <w:sz w:val="32"/>
          <w:szCs w:val="32"/>
          <w:lang w:eastAsia="zh-CN"/>
        </w:rPr>
        <w:t>方案</w:t>
      </w:r>
      <w:r>
        <w:rPr>
          <w:rFonts w:eastAsia="仿宋_GB2312"/>
          <w:sz w:val="32"/>
          <w:szCs w:val="32"/>
        </w:rPr>
        <w:t>拟建</w:t>
      </w:r>
      <w:r>
        <w:rPr>
          <w:rFonts w:hint="eastAsia" w:eastAsia="仿宋_GB2312"/>
          <w:sz w:val="32"/>
          <w:szCs w:val="32"/>
        </w:rPr>
        <w:t>园区综合服务中心、厂房、保鲜恒温库项目和农副产品加工（仓储）中心项目，进一步完善了农副产品深加工产业链条。</w:t>
      </w:r>
      <w:r>
        <w:rPr>
          <w:rFonts w:eastAsia="仿宋_GB2312"/>
          <w:sz w:val="32"/>
          <w:szCs w:val="32"/>
        </w:rPr>
        <w:t>同时</w:t>
      </w:r>
      <w:r>
        <w:rPr>
          <w:rFonts w:hint="eastAsia" w:eastAsia="仿宋_GB2312"/>
          <w:sz w:val="32"/>
          <w:szCs w:val="32"/>
          <w:lang w:eastAsia="zh-CN"/>
        </w:rPr>
        <w:t>本园区</w:t>
      </w:r>
      <w:r>
        <w:rPr>
          <w:rFonts w:eastAsia="仿宋_GB2312"/>
          <w:sz w:val="32"/>
          <w:szCs w:val="32"/>
        </w:rPr>
        <w:t>从存储、精选、加工、包装、物流配送等环节进行技术革新，保证生鲜食品冷藏效率，提高食品质量安全水平，努力提升冷链物流园信息化水平，延伸产业链，构建供应链生态圈</w:t>
      </w:r>
      <w:r>
        <w:rPr>
          <w:rFonts w:hint="eastAsia" w:eastAsia="仿宋_GB2312"/>
          <w:sz w:val="32"/>
          <w:szCs w:val="32"/>
          <w:lang w:eastAsia="zh-CN"/>
        </w:rPr>
        <w:t>，</w:t>
      </w:r>
      <w:r>
        <w:rPr>
          <w:rFonts w:hint="eastAsia" w:eastAsia="仿宋_GB2312"/>
          <w:sz w:val="32"/>
          <w:szCs w:val="32"/>
        </w:rPr>
        <w:t>进而</w:t>
      </w:r>
      <w:r>
        <w:rPr>
          <w:rFonts w:eastAsia="仿宋_GB2312"/>
          <w:sz w:val="32"/>
          <w:szCs w:val="32"/>
        </w:rPr>
        <w:t>改善</w:t>
      </w:r>
      <w:r>
        <w:rPr>
          <w:rFonts w:hint="eastAsia" w:eastAsia="仿宋_GB2312"/>
          <w:sz w:val="32"/>
          <w:szCs w:val="32"/>
        </w:rPr>
        <w:t>龙华镇</w:t>
      </w:r>
      <w:r>
        <w:rPr>
          <w:rFonts w:eastAsia="仿宋_GB2312"/>
          <w:sz w:val="32"/>
          <w:szCs w:val="32"/>
        </w:rPr>
        <w:t>农产品流通状况，实现农产品的更大流通价值，有利于增加农业从业者的经济收入，</w:t>
      </w:r>
      <w:r>
        <w:rPr>
          <w:rFonts w:hint="eastAsia" w:eastAsia="仿宋_GB2312"/>
          <w:sz w:val="32"/>
          <w:szCs w:val="32"/>
        </w:rPr>
        <w:t>龙华绿色食品小微产业园的建设有助于龙华镇在做优做强传统特色产业的同时，进一步整合资源，引领带动现代农业加速提质增效，促进乡村振兴。</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snapToGrid w:val="0"/>
        <w:spacing w:line="600" w:lineRule="exact"/>
        <w:ind w:firstLine="640" w:firstLineChars="200"/>
        <w:rPr>
          <w:rFonts w:eastAsia="仿宋_GB2312"/>
          <w:sz w:val="32"/>
          <w:szCs w:val="32"/>
        </w:rPr>
      </w:pPr>
      <w:r>
        <w:rPr>
          <w:rFonts w:eastAsia="仿宋_GB2312"/>
          <w:sz w:val="32"/>
          <w:szCs w:val="32"/>
        </w:rPr>
        <w:t>本方案用地总面积</w:t>
      </w:r>
      <w:r>
        <w:rPr>
          <w:rFonts w:hint="eastAsia" w:eastAsia="仿宋_GB2312"/>
          <w:sz w:val="32"/>
          <w:szCs w:val="32"/>
        </w:rPr>
        <w:t>9.9664</w:t>
      </w:r>
      <w:r>
        <w:rPr>
          <w:rFonts w:eastAsia="仿宋_GB2312"/>
          <w:sz w:val="32"/>
          <w:szCs w:val="32"/>
        </w:rPr>
        <w:t>公顷，主要用途为工业用地。工业用地面积</w:t>
      </w:r>
      <w:r>
        <w:rPr>
          <w:rFonts w:hint="eastAsia" w:eastAsia="仿宋_GB2312"/>
          <w:sz w:val="32"/>
          <w:szCs w:val="32"/>
        </w:rPr>
        <w:t>5.9772</w:t>
      </w:r>
      <w:r>
        <w:rPr>
          <w:rFonts w:eastAsia="仿宋_GB2312"/>
          <w:sz w:val="32"/>
          <w:szCs w:val="32"/>
        </w:rPr>
        <w:t>公顷，</w:t>
      </w:r>
      <w:r>
        <w:rPr>
          <w:rFonts w:hint="eastAsia" w:eastAsia="仿宋_GB2312"/>
          <w:sz w:val="32"/>
          <w:szCs w:val="32"/>
          <w:lang w:eastAsia="zh-CN"/>
        </w:rPr>
        <w:t>发展食品加工业，</w:t>
      </w:r>
      <w:r>
        <w:rPr>
          <w:rFonts w:eastAsia="仿宋_GB2312"/>
          <w:sz w:val="32"/>
          <w:szCs w:val="32"/>
        </w:rPr>
        <w:t>实现产业发展的功能；</w:t>
      </w:r>
      <w:r>
        <w:rPr>
          <w:rFonts w:hint="eastAsia" w:eastAsia="仿宋_GB2312"/>
          <w:sz w:val="32"/>
          <w:szCs w:val="32"/>
        </w:rPr>
        <w:t>文化用地0.7172</w:t>
      </w:r>
      <w:r>
        <w:rPr>
          <w:rFonts w:eastAsia="仿宋_GB2312"/>
          <w:sz w:val="32"/>
          <w:szCs w:val="32"/>
        </w:rPr>
        <w:t>公顷，</w:t>
      </w:r>
      <w:r>
        <w:rPr>
          <w:rFonts w:hint="eastAsia" w:eastAsia="仿宋_GB2312"/>
          <w:sz w:val="32"/>
          <w:szCs w:val="32"/>
          <w:lang w:eastAsia="zh-CN"/>
        </w:rPr>
        <w:t>实现</w:t>
      </w:r>
      <w:r>
        <w:rPr>
          <w:rFonts w:hint="eastAsia" w:eastAsia="仿宋_GB2312"/>
          <w:sz w:val="32"/>
          <w:szCs w:val="32"/>
        </w:rPr>
        <w:t>农产品展销展览</w:t>
      </w:r>
      <w:r>
        <w:rPr>
          <w:rFonts w:hint="eastAsia" w:eastAsia="仿宋_GB2312"/>
          <w:sz w:val="32"/>
          <w:szCs w:val="32"/>
          <w:lang w:eastAsia="zh-CN"/>
        </w:rPr>
        <w:t>功能</w:t>
      </w:r>
      <w:r>
        <w:rPr>
          <w:rFonts w:eastAsia="仿宋_GB2312"/>
          <w:sz w:val="32"/>
          <w:szCs w:val="32"/>
        </w:rPr>
        <w:t>；</w:t>
      </w:r>
      <w:r>
        <w:rPr>
          <w:rFonts w:hint="eastAsia" w:eastAsia="仿宋_GB2312"/>
          <w:sz w:val="32"/>
          <w:szCs w:val="32"/>
        </w:rPr>
        <w:t>机关团体用地</w:t>
      </w:r>
      <w:r>
        <w:rPr>
          <w:rFonts w:eastAsia="仿宋_GB2312"/>
          <w:sz w:val="32"/>
          <w:szCs w:val="32"/>
        </w:rPr>
        <w:t>面积</w:t>
      </w:r>
      <w:r>
        <w:rPr>
          <w:rFonts w:hint="eastAsia" w:eastAsia="仿宋_GB2312"/>
          <w:sz w:val="32"/>
          <w:szCs w:val="32"/>
        </w:rPr>
        <w:t>0.6223</w:t>
      </w:r>
      <w:r>
        <w:rPr>
          <w:rFonts w:eastAsia="仿宋_GB2312"/>
          <w:sz w:val="32"/>
          <w:szCs w:val="32"/>
        </w:rPr>
        <w:t>公顷，</w:t>
      </w:r>
      <w:r>
        <w:rPr>
          <w:rFonts w:hint="eastAsia" w:eastAsia="仿宋_GB2312"/>
          <w:sz w:val="32"/>
          <w:szCs w:val="32"/>
          <w:lang w:eastAsia="zh-CN"/>
        </w:rPr>
        <w:t>建设小微产业园服务中心，实现服务企业功能</w:t>
      </w:r>
      <w:r>
        <w:rPr>
          <w:rFonts w:eastAsia="仿宋_GB2312"/>
          <w:sz w:val="32"/>
          <w:szCs w:val="32"/>
        </w:rPr>
        <w:t>；城镇道路用地面积</w:t>
      </w:r>
      <w:r>
        <w:rPr>
          <w:rFonts w:hint="eastAsia" w:eastAsia="仿宋_GB2312"/>
          <w:sz w:val="32"/>
          <w:szCs w:val="32"/>
        </w:rPr>
        <w:t>0.7156</w:t>
      </w:r>
      <w:r>
        <w:rPr>
          <w:rFonts w:eastAsia="仿宋_GB2312"/>
          <w:sz w:val="32"/>
          <w:szCs w:val="32"/>
        </w:rPr>
        <w:t>公顷，实现交通路网畅通的功能；</w:t>
      </w:r>
      <w:r>
        <w:rPr>
          <w:rFonts w:hint="eastAsia" w:eastAsia="仿宋_GB2312"/>
          <w:sz w:val="32"/>
          <w:szCs w:val="32"/>
        </w:rPr>
        <w:t>交通场站用地</w:t>
      </w:r>
      <w:r>
        <w:rPr>
          <w:rFonts w:eastAsia="仿宋_GB2312"/>
          <w:sz w:val="32"/>
          <w:szCs w:val="32"/>
        </w:rPr>
        <w:t>面积</w:t>
      </w:r>
      <w:r>
        <w:rPr>
          <w:rFonts w:hint="eastAsia" w:eastAsia="仿宋_GB2312"/>
          <w:sz w:val="32"/>
          <w:szCs w:val="32"/>
        </w:rPr>
        <w:t>1.9341</w:t>
      </w:r>
      <w:r>
        <w:rPr>
          <w:rFonts w:eastAsia="仿宋_GB2312"/>
          <w:sz w:val="32"/>
          <w:szCs w:val="32"/>
        </w:rPr>
        <w:t>公顷，</w:t>
      </w:r>
      <w:r>
        <w:rPr>
          <w:rFonts w:hint="eastAsia" w:eastAsia="仿宋_GB2312"/>
          <w:sz w:val="32"/>
          <w:szCs w:val="32"/>
        </w:rPr>
        <w:t>公共汽（电）车首末站、停车场（库）设施等用地</w:t>
      </w:r>
      <w:r>
        <w:rPr>
          <w:rFonts w:hint="eastAsia" w:eastAsia="仿宋_GB2312"/>
          <w:sz w:val="32"/>
          <w:szCs w:val="32"/>
          <w:lang w:eastAsia="zh-CN"/>
        </w:rPr>
        <w:t>，实现交通设施服务功能</w:t>
      </w:r>
      <w:r>
        <w:rPr>
          <w:rFonts w:eastAsia="仿宋_GB2312"/>
          <w:sz w:val="32"/>
          <w:szCs w:val="32"/>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snapToGrid w:val="0"/>
        <w:spacing w:line="600" w:lineRule="exact"/>
        <w:ind w:firstLine="640" w:firstLineChars="200"/>
        <w:rPr>
          <w:rFonts w:eastAsia="仿宋_GB2312"/>
          <w:sz w:val="32"/>
          <w:szCs w:val="32"/>
        </w:rPr>
      </w:pPr>
      <w:r>
        <w:rPr>
          <w:rFonts w:eastAsia="仿宋_GB2312"/>
          <w:sz w:val="32"/>
          <w:szCs w:val="32"/>
        </w:rPr>
        <w:t>公益性用地包含城镇道路用地、</w:t>
      </w:r>
      <w:r>
        <w:rPr>
          <w:rFonts w:hint="eastAsia" w:eastAsia="仿宋_GB2312"/>
          <w:sz w:val="32"/>
          <w:szCs w:val="32"/>
        </w:rPr>
        <w:t>交通场站用地</w:t>
      </w:r>
      <w:r>
        <w:rPr>
          <w:rFonts w:hint="eastAsia" w:eastAsia="仿宋_GB2312"/>
          <w:sz w:val="32"/>
          <w:szCs w:val="32"/>
          <w:lang w:eastAsia="zh-CN"/>
        </w:rPr>
        <w:t>、文化用地、机关团体用地</w:t>
      </w:r>
      <w:r>
        <w:rPr>
          <w:rFonts w:eastAsia="仿宋_GB2312"/>
          <w:sz w:val="32"/>
          <w:szCs w:val="32"/>
        </w:rPr>
        <w:t>，合计</w:t>
      </w:r>
      <w:r>
        <w:rPr>
          <w:rFonts w:hint="eastAsia" w:eastAsia="仿宋_GB2312"/>
          <w:sz w:val="32"/>
          <w:szCs w:val="32"/>
        </w:rPr>
        <w:t>3.9892</w:t>
      </w:r>
      <w:r>
        <w:rPr>
          <w:rFonts w:eastAsia="仿宋_GB2312"/>
          <w:sz w:val="32"/>
          <w:szCs w:val="32"/>
        </w:rPr>
        <w:t>公顷，占用地总面积的40.</w:t>
      </w:r>
      <w:r>
        <w:rPr>
          <w:rFonts w:hint="eastAsia" w:eastAsia="仿宋_GB2312"/>
          <w:sz w:val="32"/>
          <w:szCs w:val="32"/>
        </w:rPr>
        <w:t>03</w:t>
      </w:r>
      <w:r>
        <w:rPr>
          <w:rFonts w:eastAsia="仿宋_GB2312"/>
          <w:sz w:val="32"/>
          <w:szCs w:val="32"/>
        </w:rPr>
        <w:t>%，符合自然资规〔2020〕5号规定。</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adjustRightInd w:val="0"/>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widowControl/>
        <w:tabs>
          <w:tab w:val="left" w:pos="2730"/>
        </w:tabs>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spacing w:line="600" w:lineRule="exact"/>
        <w:ind w:firstLine="620" w:firstLineChars="200"/>
        <w:rPr>
          <w:rFonts w:eastAsia="仿宋_GB2312"/>
          <w:sz w:val="32"/>
          <w:szCs w:val="32"/>
        </w:rPr>
      </w:pPr>
      <w:r>
        <w:rPr>
          <w:rFonts w:ascii="Times New Roman" w:hAnsi="Times New Roman" w:eastAsia="仿宋_GB2312" w:cs="Times New Roman"/>
          <w:kern w:val="0"/>
          <w:sz w:val="31"/>
          <w:szCs w:val="31"/>
          <w:lang w:bidi="ar"/>
        </w:rPr>
        <w:t>（一）土地利用效益：</w:t>
      </w:r>
      <w:r>
        <w:rPr>
          <w:rFonts w:ascii="Times New Roman" w:hAnsi="Times New Roman" w:eastAsia="仿宋_GB2312" w:cs="Times New Roman"/>
          <w:sz w:val="32"/>
          <w:szCs w:val="32"/>
        </w:rPr>
        <w:t>通过土地利用开发，</w:t>
      </w:r>
      <w:r>
        <w:rPr>
          <w:rFonts w:eastAsia="仿宋_GB2312"/>
          <w:sz w:val="32"/>
          <w:szCs w:val="32"/>
        </w:rPr>
        <w:t>可以有效整合区域内土地资源，促进土地资源要素的统筹利用，科学合理布局各类用地，有效推动土地集约、节约利用。</w:t>
      </w:r>
    </w:p>
    <w:p>
      <w:pPr>
        <w:adjustRightInd w:val="0"/>
        <w:snapToGrid w:val="0"/>
        <w:spacing w:line="600" w:lineRule="exact"/>
        <w:ind w:firstLine="570"/>
        <w:rPr>
          <w:rFonts w:eastAsia="仿宋_GB2312"/>
          <w:sz w:val="32"/>
          <w:szCs w:val="32"/>
        </w:rPr>
      </w:pPr>
      <w:r>
        <w:rPr>
          <w:rFonts w:ascii="Times New Roman" w:hAnsi="Times New Roman" w:eastAsia="仿宋_GB2312" w:cs="Times New Roman"/>
          <w:kern w:val="0"/>
          <w:sz w:val="31"/>
          <w:szCs w:val="31"/>
          <w:lang w:bidi="ar"/>
        </w:rPr>
        <w:t>（二）经济效益：</w:t>
      </w:r>
      <w:r>
        <w:rPr>
          <w:rFonts w:eastAsia="仿宋_GB2312"/>
          <w:sz w:val="32"/>
          <w:szCs w:val="32"/>
        </w:rPr>
        <w:t>本方案工业项目拟</w:t>
      </w:r>
      <w:r>
        <w:rPr>
          <w:rFonts w:hint="eastAsia" w:eastAsia="仿宋_GB2312"/>
          <w:sz w:val="32"/>
          <w:szCs w:val="32"/>
        </w:rPr>
        <w:t>采用政府投资建设</w:t>
      </w:r>
      <w:r>
        <w:rPr>
          <w:rFonts w:eastAsia="仿宋_GB2312"/>
          <w:sz w:val="32"/>
          <w:szCs w:val="32"/>
        </w:rPr>
        <w:t>，</w:t>
      </w:r>
      <w:r>
        <w:rPr>
          <w:rFonts w:hint="eastAsia" w:eastAsia="仿宋_GB2312"/>
          <w:sz w:val="32"/>
          <w:szCs w:val="32"/>
        </w:rPr>
        <w:t>园区专业运营机构独立或与国有企业合作开发模式，投资建设和运营管理小微产业园。拟投资2亿元建设10万平方米标准厂房，建设</w:t>
      </w:r>
      <w:r>
        <w:rPr>
          <w:rFonts w:eastAsia="仿宋_GB2312"/>
          <w:sz w:val="32"/>
          <w:szCs w:val="32"/>
        </w:rPr>
        <w:t>预计可创造税收不低于</w:t>
      </w:r>
      <w:r>
        <w:rPr>
          <w:rFonts w:hint="eastAsia" w:eastAsia="仿宋_GB2312"/>
          <w:sz w:val="32"/>
          <w:szCs w:val="32"/>
        </w:rPr>
        <w:t>2000</w:t>
      </w:r>
      <w:r>
        <w:rPr>
          <w:rFonts w:eastAsia="仿宋_GB2312"/>
          <w:sz w:val="32"/>
          <w:szCs w:val="32"/>
        </w:rPr>
        <w:t>万元，带来新的税收增长点，增强</w:t>
      </w:r>
      <w:r>
        <w:rPr>
          <w:rFonts w:hint="eastAsia" w:eastAsia="仿宋_GB2312"/>
          <w:sz w:val="32"/>
          <w:szCs w:val="32"/>
        </w:rPr>
        <w:t>农产品</w:t>
      </w:r>
      <w:r>
        <w:rPr>
          <w:rFonts w:eastAsia="仿宋_GB2312"/>
          <w:sz w:val="32"/>
          <w:szCs w:val="32"/>
        </w:rPr>
        <w:t>的市场竞争力， 促进产业结构的调整和优化、提升产业的档次水平。项目建设还有利于完善农产品市场的功能、提升市场档次，提高中、高档农产品的贮存、加工和配送能力，实现更好的经济效益。</w:t>
      </w:r>
    </w:p>
    <w:p>
      <w:pPr>
        <w:snapToGrid w:val="0"/>
        <w:spacing w:line="600" w:lineRule="exact"/>
        <w:ind w:firstLine="620" w:firstLineChars="200"/>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（三）社会效益：本方案的实施</w:t>
      </w:r>
      <w:r>
        <w:rPr>
          <w:rFonts w:ascii="Times New Roman" w:hAnsi="Times New Roman" w:eastAsia="仿宋_GB2312" w:cs="Times New Roman"/>
          <w:sz w:val="32"/>
          <w:szCs w:val="32"/>
          <w:shd w:val="clear" w:color="auto" w:fill="FFFFFF"/>
        </w:rPr>
        <w:t>有利于完善基础设施；</w:t>
      </w:r>
      <w:r>
        <w:rPr>
          <w:rFonts w:hint="eastAsia" w:ascii="Times New Roman" w:hAnsi="Times New Roman" w:eastAsia="仿宋_GB2312" w:cs="Times New Roman"/>
          <w:kern w:val="0"/>
          <w:sz w:val="31"/>
          <w:szCs w:val="31"/>
          <w:lang w:bidi="ar"/>
        </w:rPr>
        <w:t>有利于</w:t>
      </w:r>
      <w:r>
        <w:rPr>
          <w:rFonts w:ascii="Times New Roman" w:hAnsi="Times New Roman" w:eastAsia="仿宋_GB2312" w:cs="Times New Roman"/>
          <w:sz w:val="32"/>
          <w:szCs w:val="32"/>
          <w:shd w:val="clear" w:color="auto" w:fill="FFFFFF"/>
        </w:rPr>
        <w:t>增加就业机会，提高居民人均收入。</w:t>
      </w:r>
    </w:p>
    <w:p>
      <w:pPr>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（四）生态效益：本方案成片开发项目</w:t>
      </w:r>
      <w:r>
        <w:rPr>
          <w:rFonts w:eastAsia="仿宋_GB2312"/>
          <w:sz w:val="32"/>
          <w:szCs w:val="32"/>
        </w:rPr>
        <w:t>根据《工矿用地土壤环境管理办法（试行）》，加强工矿用地土壤和地下水环境保护监督管理，防治工矿用地土壤和地下水污染。</w:t>
      </w:r>
      <w:r>
        <w:rPr>
          <w:rFonts w:ascii="Times New Roman" w:hAnsi="Times New Roman" w:eastAsia="仿宋_GB2312" w:cs="Times New Roman"/>
          <w:sz w:val="32"/>
          <w:szCs w:val="32"/>
        </w:rPr>
        <w:t>在土地利用开发、规划等过程中，将严格按照相关法律法规落实水环境保护措施，确保满足周边及下游水环境质量与安全要求。</w:t>
      </w:r>
    </w:p>
    <w:p>
      <w:pPr>
        <w:overflowPunct w:val="0"/>
        <w:spacing w:line="60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spacing w:before="0" w:after="0" w:line="600" w:lineRule="exact"/>
        <w:ind w:firstLine="620" w:firstLineChars="200"/>
        <w:rPr>
          <w:rFonts w:ascii="Times New Roman" w:hAnsi="Times New Roman" w:eastAsia="仿宋_GB2312" w:cs="Times New Roman"/>
          <w:b w:val="0"/>
          <w:bCs w:val="0"/>
          <w:kern w:val="0"/>
          <w:sz w:val="31"/>
          <w:szCs w:val="31"/>
          <w:lang w:bidi="ar"/>
        </w:rPr>
      </w:pPr>
      <w:r>
        <w:rPr>
          <w:rFonts w:ascii="Times New Roman" w:hAnsi="Times New Roman" w:eastAsia="仿宋_GB2312" w:cs="Times New Roman"/>
          <w:b w:val="0"/>
          <w:bCs w:val="0"/>
          <w:kern w:val="0"/>
          <w:sz w:val="31"/>
          <w:szCs w:val="31"/>
          <w:lang w:bidi="ar"/>
        </w:rPr>
        <w:t>《仙游县2022年度第</w:t>
      </w:r>
      <w:r>
        <w:rPr>
          <w:rFonts w:hint="eastAsia" w:ascii="Times New Roman" w:hAnsi="Times New Roman" w:eastAsia="仿宋_GB2312" w:cs="Times New Roman"/>
          <w:b w:val="0"/>
          <w:bCs w:val="0"/>
          <w:kern w:val="0"/>
          <w:sz w:val="31"/>
          <w:szCs w:val="31"/>
          <w:lang w:eastAsia="zh-CN" w:bidi="ar"/>
        </w:rPr>
        <w:t>十六</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eastAsia="zh-CN" w:bidi="ar"/>
        </w:rPr>
        <w:t>龙华镇绿色食品小微产业园</w:t>
      </w:r>
      <w:r>
        <w:rPr>
          <w:rFonts w:ascii="Times New Roman" w:hAnsi="Times New Roman" w:eastAsia="仿宋_GB2312" w:cs="Times New Roman"/>
          <w:b w:val="0"/>
          <w:bCs w:val="0"/>
          <w:kern w:val="0"/>
          <w:sz w:val="31"/>
          <w:szCs w:val="31"/>
          <w:lang w:bidi="ar"/>
        </w:rPr>
        <w:t>》符合土地征收成片开发的标准。</w:t>
      </w:r>
    </w:p>
    <w:p>
      <w:pPr>
        <w:overflowPunct w:val="0"/>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br w:type="page"/>
      </w:r>
    </w:p>
    <w:p>
      <w:pPr>
        <w:rPr>
          <w:rFonts w:ascii="Times New Roman" w:hAnsi="Times New Roman" w:cs="Times New Roman"/>
          <w:sz w:val="28"/>
          <w:szCs w:val="28"/>
        </w:rPr>
        <w:sectPr>
          <w:pgSz w:w="11906" w:h="16838"/>
          <w:pgMar w:top="1440" w:right="1797" w:bottom="1440" w:left="1797" w:header="851" w:footer="992" w:gutter="0"/>
          <w:cols w:space="425" w:num="1"/>
          <w:docGrid w:type="lines" w:linePitch="312" w:charSpace="0"/>
        </w:sectPr>
      </w:pPr>
    </w:p>
    <w:p>
      <w:pPr>
        <w:pStyle w:val="6"/>
        <w:spacing w:line="415" w:lineRule="auto"/>
        <w:rPr>
          <w:rFonts w:ascii="Times New Roman" w:hAnsi="Times New Roman" w:eastAsia="仿宋_GB2312" w:cs="Times New Roman"/>
          <w:b w:val="0"/>
          <w:bCs w:val="0"/>
          <w:kern w:val="0"/>
          <w:sz w:val="28"/>
          <w:szCs w:val="28"/>
          <w:lang w:bidi="ar"/>
        </w:rPr>
      </w:pPr>
      <w:r>
        <w:rPr>
          <w:rFonts w:ascii="Times New Roman" w:hAnsi="Times New Roman" w:eastAsia="仿宋_GB2312" w:cs="Times New Roman"/>
          <w:b w:val="0"/>
          <w:bCs w:val="0"/>
          <w:kern w:val="0"/>
          <w:sz w:val="28"/>
          <w:szCs w:val="28"/>
          <w:lang w:bidi="ar"/>
        </w:rPr>
        <w:t>附图1：位置示意图</w:t>
      </w:r>
      <w:bookmarkStart w:id="0" w:name="_GoBack"/>
      <w:bookmarkEnd w:id="0"/>
    </w:p>
    <w:p>
      <w:pPr>
        <w:jc w:val="center"/>
        <w:rPr>
          <w:rFonts w:hint="eastAsia" w:ascii="Times New Roman" w:hAnsi="Times New Roman" w:eastAsia="仿宋_GB2312" w:cs="Times New Roman"/>
          <w:b/>
          <w:bCs/>
          <w:kern w:val="0"/>
          <w:sz w:val="28"/>
          <w:szCs w:val="28"/>
          <w:lang w:eastAsia="zh-CN" w:bidi="ar"/>
        </w:rPr>
      </w:pPr>
      <w:r>
        <w:rPr>
          <w:rFonts w:hint="eastAsia" w:ascii="Times New Roman" w:hAnsi="Times New Roman" w:eastAsia="仿宋_GB2312" w:cs="Times New Roman"/>
          <w:b/>
          <w:bCs/>
          <w:kern w:val="0"/>
          <w:sz w:val="28"/>
          <w:szCs w:val="28"/>
          <w:lang w:eastAsia="zh-CN" w:bidi="ar"/>
        </w:rPr>
        <w:drawing>
          <wp:inline distT="0" distB="0" distL="114300" distR="114300">
            <wp:extent cx="6635750" cy="4695190"/>
            <wp:effectExtent l="0" t="0" r="12700" b="10160"/>
            <wp:docPr id="1" name="图片 1" descr="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位置示意图"/>
                    <pic:cNvPicPr>
                      <a:picLocks noChangeAspect="1"/>
                    </pic:cNvPicPr>
                  </pic:nvPicPr>
                  <pic:blipFill>
                    <a:blip r:embed="rId4"/>
                    <a:stretch>
                      <a:fillRect/>
                    </a:stretch>
                  </pic:blipFill>
                  <pic:spPr>
                    <a:xfrm>
                      <a:off x="0" y="0"/>
                      <a:ext cx="6635750" cy="4695190"/>
                    </a:xfrm>
                    <a:prstGeom prst="rect">
                      <a:avLst/>
                    </a:prstGeom>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0E244D2D"/>
    <w:rsid w:val="1CFA0A64"/>
    <w:rsid w:val="1F106CB2"/>
    <w:rsid w:val="34D459EA"/>
    <w:rsid w:val="36176A26"/>
    <w:rsid w:val="36BA63DD"/>
    <w:rsid w:val="36C66087"/>
    <w:rsid w:val="42800582"/>
    <w:rsid w:val="470923BB"/>
    <w:rsid w:val="542E16B3"/>
    <w:rsid w:val="57E7336B"/>
    <w:rsid w:val="62A5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1"/>
    <w:link w:val="6"/>
    <w:qFormat/>
    <w:uiPriority w:val="9"/>
    <w:rPr>
      <w:b/>
      <w:bCs/>
      <w:sz w:val="32"/>
      <w:szCs w:val="32"/>
    </w:rPr>
  </w:style>
  <w:style w:type="character" w:customStyle="1" w:styleId="17">
    <w:name w:val="批注框文本 Char"/>
    <w:basedOn w:val="11"/>
    <w:link w:val="7"/>
    <w:semiHidden/>
    <w:qFormat/>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2355</Words>
  <Characters>2437</Characters>
  <Lines>15</Lines>
  <Paragraphs>4</Paragraphs>
  <TotalTime>0</TotalTime>
  <ScaleCrop>false</ScaleCrop>
  <LinksUpToDate>false</LinksUpToDate>
  <CharactersWithSpaces>2447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林晨</cp:lastModifiedBy>
  <cp:lastPrinted>2021-04-15T09:16:00Z</cp:lastPrinted>
  <dcterms:modified xsi:type="dcterms:W3CDTF">2022-10-24T02:00:52Z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90C497F61C6B4E67B0B267A6797AEFBB</vt:lpwstr>
  </property>
</Properties>
</file>