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宋体" w:cs="Times New Roman"/>
          <w:kern w:val="0"/>
          <w:sz w:val="36"/>
          <w:szCs w:val="36"/>
          <w:lang w:bidi="ar"/>
        </w:rPr>
      </w:pPr>
      <w:r>
        <w:rPr>
          <w:rFonts w:ascii="Times New Roman" w:hAnsi="Times New Roman" w:eastAsia="宋体" w:cs="Times New Roman"/>
          <w:kern w:val="0"/>
          <w:sz w:val="36"/>
          <w:szCs w:val="36"/>
          <w:lang w:bidi="ar"/>
        </w:rPr>
        <w:t>附件</w:t>
      </w:r>
    </w:p>
    <w:p>
      <w:pPr>
        <w:pStyle w:val="5"/>
        <w:jc w:val="center"/>
        <w:rPr>
          <w:rFonts w:ascii="Times New Roman" w:hAnsi="Times New Roman" w:eastAsia="宋体" w:cs="Times New Roman"/>
        </w:rPr>
      </w:pPr>
      <w:r>
        <w:rPr>
          <w:rFonts w:ascii="Times New Roman" w:hAnsi="Times New Roman" w:eastAsia="宋体" w:cs="Times New Roman"/>
        </w:rPr>
        <w:t>仙游县202</w:t>
      </w:r>
      <w:r>
        <w:rPr>
          <w:rFonts w:hint="eastAsia" w:ascii="Times New Roman" w:hAnsi="Times New Roman" w:eastAsia="宋体" w:cs="Times New Roman"/>
          <w:lang w:val="en-US" w:eastAsia="zh-CN"/>
        </w:rPr>
        <w:t>3</w:t>
      </w:r>
      <w:r>
        <w:rPr>
          <w:rFonts w:ascii="Times New Roman" w:hAnsi="Times New Roman" w:eastAsia="宋体" w:cs="Times New Roman"/>
        </w:rPr>
        <w:t>年度第</w:t>
      </w:r>
      <w:r>
        <w:rPr>
          <w:rFonts w:hint="eastAsia" w:ascii="Times New Roman" w:hAnsi="Times New Roman" w:eastAsia="宋体" w:cs="Times New Roman"/>
          <w:lang w:eastAsia="zh-CN"/>
        </w:rPr>
        <w:t>五</w:t>
      </w:r>
      <w:r>
        <w:rPr>
          <w:rFonts w:ascii="Times New Roman" w:hAnsi="Times New Roman" w:eastAsia="宋体" w:cs="Times New Roman"/>
        </w:rPr>
        <w:t>批次土地征收成片开发方案（</w:t>
      </w:r>
      <w:r>
        <w:rPr>
          <w:rFonts w:hint="eastAsia" w:ascii="Times New Roman" w:hAnsi="Times New Roman" w:eastAsia="宋体" w:cs="Times New Roman"/>
          <w:lang w:val="en-US" w:eastAsia="zh-CN"/>
        </w:rPr>
        <w:t>赖店小微产业园</w:t>
      </w:r>
      <w:r>
        <w:rPr>
          <w:rFonts w:ascii="Times New Roman" w:hAnsi="Times New Roman" w:eastAsia="宋体" w:cs="Times New Roman"/>
        </w:rPr>
        <w:t>）</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一、编制依据</w:t>
      </w:r>
      <w:r>
        <w:rPr>
          <w:rFonts w:ascii="Times New Roman" w:hAnsi="Times New Roman" w:eastAsia="黑体" w:cs="Times New Roman"/>
          <w:kern w:val="0"/>
          <w:sz w:val="31"/>
          <w:szCs w:val="31"/>
          <w:lang w:bidi="ar"/>
        </w:rPr>
        <w:tab/>
      </w:r>
    </w:p>
    <w:p>
      <w:pPr>
        <w:overflowPunct w:val="0"/>
        <w:spacing w:line="600" w:lineRule="exact"/>
        <w:ind w:firstLine="620" w:firstLineChars="200"/>
        <w:jc w:val="left"/>
        <w:rPr>
          <w:rFonts w:ascii="Times New Roman" w:hAnsi="Times New Roman" w:eastAsia="仿宋_GB2312" w:cs="Times New Roman"/>
          <w:kern w:val="0"/>
          <w:sz w:val="31"/>
          <w:szCs w:val="31"/>
          <w:lang w:bidi="ar"/>
        </w:rPr>
      </w:pPr>
      <w:r>
        <w:rPr>
          <w:rFonts w:ascii="Times New Roman" w:hAnsi="Times New Roman" w:eastAsia="仿宋_GB2312" w:cs="Times New Roman"/>
          <w:kern w:val="0"/>
          <w:sz w:val="31"/>
          <w:szCs w:val="31"/>
          <w:lang w:bidi="ar"/>
        </w:rPr>
        <w:t>依据《中华人民共和国土地管理法》（2019年修正</w:t>
      </w:r>
      <w:r>
        <w:rPr>
          <w:rFonts w:hint="eastAsia" w:ascii="Times New Roman" w:hAnsi="Times New Roman" w:eastAsia="仿宋_GB2312" w:cs="Times New Roman"/>
          <w:kern w:val="0"/>
          <w:sz w:val="31"/>
          <w:szCs w:val="31"/>
          <w:lang w:bidi="ar"/>
        </w:rPr>
        <w:t>版</w:t>
      </w:r>
      <w:r>
        <w:rPr>
          <w:rFonts w:ascii="Times New Roman" w:hAnsi="Times New Roman" w:eastAsia="仿宋_GB2312" w:cs="Times New Roman"/>
          <w:kern w:val="0"/>
          <w:sz w:val="31"/>
          <w:szCs w:val="31"/>
          <w:lang w:bidi="ar"/>
        </w:rPr>
        <w:t>）、《土地征收成片开发标准（试行）》、《国土空间调查、规划、用途管制用地用海分类指南》（试行）、《仙游县国民经济和社会发展第十四个五年规划和二</w:t>
      </w:r>
      <w:r>
        <w:rPr>
          <w:rFonts w:ascii="Times New Roman" w:hAnsi="Times New Roman" w:eastAsia="宋体" w:cs="Times New Roman"/>
          <w:kern w:val="0"/>
          <w:sz w:val="31"/>
          <w:szCs w:val="31"/>
          <w:lang w:bidi="ar"/>
        </w:rPr>
        <w:t>〇</w:t>
      </w:r>
      <w:r>
        <w:rPr>
          <w:rFonts w:ascii="Times New Roman" w:hAnsi="Times New Roman" w:eastAsia="仿宋_GB2312" w:cs="Times New Roman"/>
          <w:kern w:val="0"/>
          <w:sz w:val="31"/>
          <w:szCs w:val="31"/>
          <w:lang w:bidi="ar"/>
        </w:rPr>
        <w:t>三五年远景目标</w:t>
      </w:r>
      <w:bookmarkStart w:id="13" w:name="_GoBack"/>
      <w:bookmarkEnd w:id="13"/>
      <w:r>
        <w:rPr>
          <w:rFonts w:ascii="Times New Roman" w:hAnsi="Times New Roman" w:eastAsia="仿宋_GB2312" w:cs="Times New Roman"/>
          <w:kern w:val="0"/>
          <w:sz w:val="31"/>
          <w:szCs w:val="31"/>
          <w:lang w:bidi="ar"/>
        </w:rPr>
        <w:t>纲要》编制《仙游县202</w:t>
      </w:r>
      <w:r>
        <w:rPr>
          <w:rFonts w:hint="eastAsia" w:ascii="Times New Roman" w:hAnsi="Times New Roman" w:eastAsia="仿宋_GB2312" w:cs="Times New Roman"/>
          <w:kern w:val="0"/>
          <w:sz w:val="31"/>
          <w:szCs w:val="31"/>
          <w:lang w:val="en-US" w:eastAsia="zh-CN" w:bidi="ar"/>
        </w:rPr>
        <w:t>3</w:t>
      </w:r>
      <w:r>
        <w:rPr>
          <w:rFonts w:ascii="Times New Roman" w:hAnsi="Times New Roman" w:eastAsia="仿宋_GB2312" w:cs="Times New Roman"/>
          <w:kern w:val="0"/>
          <w:sz w:val="31"/>
          <w:szCs w:val="31"/>
          <w:lang w:bidi="ar"/>
        </w:rPr>
        <w:t>年度第</w:t>
      </w:r>
      <w:r>
        <w:rPr>
          <w:rFonts w:hint="eastAsia" w:ascii="Times New Roman" w:hAnsi="Times New Roman" w:eastAsia="仿宋_GB2312" w:cs="Times New Roman"/>
          <w:kern w:val="0"/>
          <w:sz w:val="31"/>
          <w:szCs w:val="31"/>
          <w:lang w:eastAsia="zh-CN" w:bidi="ar"/>
        </w:rPr>
        <w:t>五</w:t>
      </w:r>
      <w:r>
        <w:rPr>
          <w:rFonts w:ascii="Times New Roman" w:hAnsi="Times New Roman" w:eastAsia="仿宋_GB2312" w:cs="Times New Roman"/>
          <w:kern w:val="0"/>
          <w:sz w:val="31"/>
          <w:szCs w:val="31"/>
          <w:lang w:bidi="ar"/>
        </w:rPr>
        <w:t>批次土地征收成片开发方案（</w:t>
      </w:r>
      <w:r>
        <w:rPr>
          <w:rFonts w:hint="eastAsia" w:ascii="Times New Roman" w:hAnsi="Times New Roman" w:eastAsia="仿宋_GB2312" w:cs="Times New Roman"/>
          <w:kern w:val="0"/>
          <w:sz w:val="31"/>
          <w:szCs w:val="31"/>
          <w:lang w:val="en-US" w:eastAsia="zh-CN" w:bidi="ar"/>
        </w:rPr>
        <w:t>赖店小微产业园</w:t>
      </w:r>
      <w:r>
        <w:rPr>
          <w:rFonts w:ascii="Times New Roman" w:hAnsi="Times New Roman" w:eastAsia="仿宋_GB2312" w:cs="Times New Roman"/>
          <w:kern w:val="0"/>
          <w:sz w:val="31"/>
          <w:szCs w:val="31"/>
          <w:lang w:bidi="ar"/>
        </w:rPr>
        <w:t>）》。</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二、基本情况</w:t>
      </w:r>
    </w:p>
    <w:p>
      <w:pPr>
        <w:overflowPunct w:val="0"/>
        <w:spacing w:line="600" w:lineRule="exact"/>
        <w:ind w:firstLine="620" w:firstLineChars="200"/>
        <w:jc w:val="left"/>
        <w:rPr>
          <w:rFonts w:ascii="Times New Roman" w:hAnsi="Times New Roman" w:eastAsia="仿宋_GB2312" w:cs="Times New Roman"/>
          <w:kern w:val="0"/>
          <w:sz w:val="31"/>
          <w:szCs w:val="31"/>
          <w:lang w:bidi="ar"/>
        </w:rPr>
      </w:pPr>
      <w:r>
        <w:rPr>
          <w:rFonts w:ascii="Times New Roman" w:hAnsi="Times New Roman" w:eastAsia="仿宋_GB2312" w:cs="Times New Roman"/>
          <w:kern w:val="0"/>
          <w:sz w:val="31"/>
          <w:szCs w:val="31"/>
          <w:lang w:bidi="ar"/>
        </w:rPr>
        <w:t>本方案涉及仙游县</w:t>
      </w:r>
      <w:r>
        <w:rPr>
          <w:rFonts w:hint="eastAsia" w:ascii="Times New Roman" w:hAnsi="Times New Roman" w:eastAsia="仿宋_GB2312" w:cs="Times New Roman"/>
          <w:kern w:val="0"/>
          <w:sz w:val="31"/>
          <w:szCs w:val="31"/>
          <w:lang w:eastAsia="zh-CN" w:bidi="ar"/>
        </w:rPr>
        <w:t>赖店镇象岭村、留仙村</w:t>
      </w:r>
      <w:r>
        <w:rPr>
          <w:rFonts w:ascii="Times New Roman" w:hAnsi="Times New Roman" w:eastAsia="仿宋_GB2312" w:cs="Times New Roman"/>
          <w:kern w:val="0"/>
          <w:sz w:val="31"/>
          <w:szCs w:val="31"/>
          <w:lang w:bidi="ar"/>
        </w:rPr>
        <w:t>，共</w:t>
      </w:r>
      <w:r>
        <w:rPr>
          <w:rFonts w:hint="eastAsia" w:ascii="Times New Roman" w:hAnsi="Times New Roman" w:eastAsia="仿宋_GB2312" w:cs="Times New Roman"/>
          <w:kern w:val="0"/>
          <w:sz w:val="31"/>
          <w:szCs w:val="31"/>
          <w:lang w:val="en-US" w:eastAsia="zh-CN" w:bidi="ar"/>
        </w:rPr>
        <w:t>1</w:t>
      </w:r>
      <w:r>
        <w:rPr>
          <w:rFonts w:ascii="Times New Roman" w:hAnsi="Times New Roman" w:eastAsia="仿宋_GB2312" w:cs="Times New Roman"/>
          <w:kern w:val="0"/>
          <w:sz w:val="31"/>
          <w:szCs w:val="31"/>
          <w:lang w:bidi="ar"/>
        </w:rPr>
        <w:t>个镇</w:t>
      </w:r>
      <w:r>
        <w:rPr>
          <w:rFonts w:hint="eastAsia" w:ascii="Times New Roman" w:hAnsi="Times New Roman" w:eastAsia="仿宋_GB2312" w:cs="Times New Roman"/>
          <w:kern w:val="0"/>
          <w:sz w:val="31"/>
          <w:szCs w:val="31"/>
          <w:lang w:val="en-US" w:eastAsia="zh-CN" w:bidi="ar"/>
        </w:rPr>
        <w:t>2</w:t>
      </w:r>
      <w:r>
        <w:rPr>
          <w:rFonts w:ascii="Times New Roman" w:hAnsi="Times New Roman" w:eastAsia="仿宋_GB2312" w:cs="Times New Roman"/>
          <w:kern w:val="0"/>
          <w:sz w:val="31"/>
          <w:szCs w:val="31"/>
          <w:lang w:bidi="ar"/>
        </w:rPr>
        <w:t>个</w:t>
      </w:r>
      <w:r>
        <w:rPr>
          <w:rFonts w:hint="eastAsia" w:ascii="Times New Roman" w:hAnsi="Times New Roman" w:eastAsia="仿宋_GB2312" w:cs="Times New Roman"/>
          <w:kern w:val="0"/>
          <w:sz w:val="31"/>
          <w:szCs w:val="31"/>
          <w:lang w:eastAsia="zh-CN" w:bidi="ar"/>
        </w:rPr>
        <w:t>村</w:t>
      </w:r>
      <w:r>
        <w:rPr>
          <w:rFonts w:ascii="Times New Roman" w:hAnsi="Times New Roman" w:eastAsia="仿宋_GB2312" w:cs="Times New Roman"/>
          <w:kern w:val="0"/>
          <w:sz w:val="31"/>
          <w:szCs w:val="31"/>
          <w:lang w:bidi="ar"/>
        </w:rPr>
        <w:t>；涉及1个国有单位，不涉及省级和国家级开发区。</w:t>
      </w:r>
    </w:p>
    <w:p>
      <w:pPr>
        <w:kinsoku/>
        <w:wordWrap/>
        <w:overflowPunct/>
        <w:topLinePunct w:val="0"/>
        <w:autoSpaceDE/>
        <w:autoSpaceDN/>
        <w:bidi w:val="0"/>
        <w:adjustRightInd w:val="0"/>
        <w:snapToGrid w:val="0"/>
        <w:spacing w:line="6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本方案成片开发范围总面积14.5811公顷。其中，农用地12.8078公顷（其中耕地0公顷），建设用地1.7733公顷，</w:t>
      </w:r>
      <w:r>
        <w:rPr>
          <w:rFonts w:hint="eastAsia" w:ascii="仿宋" w:hAnsi="仿宋" w:eastAsia="仿宋" w:cs="仿宋"/>
          <w:sz w:val="30"/>
          <w:szCs w:val="30"/>
          <w:highlight w:val="none"/>
          <w:lang w:eastAsia="zh-CN"/>
        </w:rPr>
        <w:t>不涉及</w:t>
      </w:r>
      <w:r>
        <w:rPr>
          <w:rFonts w:hint="eastAsia" w:ascii="仿宋" w:hAnsi="仿宋" w:eastAsia="仿宋" w:cs="仿宋"/>
          <w:sz w:val="30"/>
          <w:szCs w:val="30"/>
          <w:highlight w:val="none"/>
        </w:rPr>
        <w:t>未利用地</w:t>
      </w:r>
      <w:r>
        <w:rPr>
          <w:rFonts w:hint="eastAsia" w:ascii="仿宋" w:hAnsi="仿宋" w:eastAsia="仿宋" w:cs="仿宋"/>
          <w:sz w:val="30"/>
          <w:szCs w:val="30"/>
        </w:rPr>
        <w:t>。</w:t>
      </w:r>
    </w:p>
    <w:p>
      <w:pPr>
        <w:widowControl/>
        <w:numPr>
          <w:ilvl w:val="0"/>
          <w:numId w:val="2"/>
        </w:numPr>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项目的必要性</w:t>
      </w:r>
    </w:p>
    <w:p>
      <w:pPr>
        <w:pStyle w:val="2"/>
        <w:numPr>
          <w:numId w:val="0"/>
        </w:numPr>
        <w:ind w:firstLine="602" w:firstLineChars="200"/>
        <w:rPr>
          <w:rFonts w:hint="eastAsia" w:ascii="仿宋" w:hAnsi="仿宋" w:eastAsia="仿宋" w:cs="仿宋"/>
          <w:b/>
          <w:bCs/>
          <w:kern w:val="0"/>
          <w:sz w:val="30"/>
          <w:szCs w:val="30"/>
          <w:highlight w:val="none"/>
          <w:lang w:val="en-US" w:eastAsia="zh-CN" w:bidi="ar-SA"/>
        </w:rPr>
      </w:pPr>
      <w:bookmarkStart w:id="0" w:name="_Toc137"/>
      <w:bookmarkStart w:id="1" w:name="_Toc11317"/>
      <w:bookmarkStart w:id="2" w:name="_Toc3140"/>
      <w:bookmarkStart w:id="3" w:name="_Toc8066"/>
      <w:bookmarkStart w:id="4" w:name="_Toc26871"/>
      <w:r>
        <w:rPr>
          <w:rFonts w:hint="eastAsia" w:ascii="仿宋" w:hAnsi="仿宋" w:eastAsia="仿宋" w:cs="仿宋"/>
          <w:b/>
          <w:bCs/>
          <w:kern w:val="0"/>
          <w:sz w:val="30"/>
          <w:szCs w:val="30"/>
          <w:highlight w:val="none"/>
          <w:lang w:val="en-US" w:eastAsia="zh-CN" w:bidi="ar-SA"/>
        </w:rPr>
        <w:t>（一）必要性分析</w:t>
      </w:r>
      <w:bookmarkEnd w:id="0"/>
      <w:bookmarkEnd w:id="1"/>
      <w:bookmarkEnd w:id="2"/>
      <w:bookmarkEnd w:id="3"/>
      <w:bookmarkEnd w:id="4"/>
    </w:p>
    <w:p>
      <w:pPr>
        <w:kinsoku/>
        <w:wordWrap/>
        <w:overflowPunct/>
        <w:topLinePunct w:val="0"/>
        <w:autoSpaceDE/>
        <w:autoSpaceDN/>
        <w:bidi w:val="0"/>
        <w:snapToGrid w:val="0"/>
        <w:spacing w:line="60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1、建设小微产业园推动仙游县高质量发展</w:t>
      </w:r>
    </w:p>
    <w:p>
      <w:pPr>
        <w:kinsoku/>
        <w:wordWrap/>
        <w:overflowPunct/>
        <w:topLinePunct w:val="0"/>
        <w:autoSpaceDE/>
        <w:autoSpaceDN/>
        <w:bidi w:val="0"/>
        <w:adjustRightInd w:val="0"/>
        <w:snapToGrid w:val="0"/>
        <w:spacing w:line="6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十八大报告提出“支持小微企业发展”，“促进创新资源高效配置和综合集成，把全社会智慧和力量凝聚到创新发展上来”。小微企业是科技创新最为活跃和最具潜力的群体，激发小型微型企业发展活力，对提高区域创新水平，支撑经济发展，深化国家创新体系建设具有十分重要的意义。赖店镇有中小微企业832家，涉及古玩、农副食品加工、纺织服装、建材、汽车零部件、红木加工等，从业人员达1.6万人，占全镇就业人员的45%。建设小微产业园形成中小微企业创业产业园，以资源整合、联合发展为主要工作目标，引导小微企业高质量集聚发展。同时建立小微企业园联席会议机制，加快构建各部门各司其职的小微企业服务体系，探索有利于小微企业发展的管理模式，切实推进小微企业园建设。促进小微企业向高质量集聚、集群化发展有助于推动仙游县高质量发展。</w:t>
      </w:r>
    </w:p>
    <w:p>
      <w:pPr>
        <w:kinsoku/>
        <w:wordWrap/>
        <w:overflowPunct/>
        <w:topLinePunct w:val="0"/>
        <w:autoSpaceDE/>
        <w:autoSpaceDN/>
        <w:bidi w:val="0"/>
        <w:snapToGrid w:val="0"/>
        <w:spacing w:line="600" w:lineRule="exact"/>
        <w:ind w:left="0" w:leftChars="0"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2、引领带动现代农业加速提质增效，促进乡村振兴</w:t>
      </w:r>
    </w:p>
    <w:p>
      <w:pPr>
        <w:kinsoku/>
        <w:wordWrap/>
        <w:overflowPunct/>
        <w:topLinePunct w:val="0"/>
        <w:autoSpaceDE/>
        <w:autoSpaceDN/>
        <w:bidi w:val="0"/>
        <w:adjustRightInd w:val="0"/>
        <w:snapToGrid w:val="0"/>
        <w:spacing w:line="6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赖店作为农业大镇是莆田市最大的潘硎槟榔芋、九楼、樟林文旦柚、玉墩菊花等优势特色农产品生产、加工、销售基地。本项目拟建建设了园区综合服务中心、厂房、保鲜恒温库项目和农副产品加工（仓储）中心项目，进一步完善了农副产品深加工产业链条。同时本项目从存储、精选、加工、包装、物流配送等环节进行技术革新，保证生鲜食品冷藏效率，提高食品质量安全水平，努力提升冷链物流园信息化水平，延伸产业链，构建供应链生态圈。推进农产品标准化、产业化、专业化、绿色化、品牌化发展，提升农业产业整体竞争力。有利于增加农业从业者的经济收入，赖店小微产业园的建设有助于赖店镇在做优做强传统特色产业的同时，进一步整合资源，引领带动现代农业加速提质增效，促进乡村振兴。</w:t>
      </w:r>
    </w:p>
    <w:p>
      <w:pPr>
        <w:kinsoku/>
        <w:wordWrap/>
        <w:overflowPunct/>
        <w:topLinePunct w:val="0"/>
        <w:autoSpaceDE/>
        <w:autoSpaceDN/>
        <w:bidi w:val="0"/>
        <w:snapToGrid w:val="0"/>
        <w:spacing w:line="600" w:lineRule="exact"/>
        <w:ind w:left="0" w:leftChars="0"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3、有利于促进冷链物流业的发展，延伸产业链，构建供应链生态圈</w:t>
      </w:r>
    </w:p>
    <w:p>
      <w:pPr>
        <w:kinsoku/>
        <w:wordWrap/>
        <w:overflowPunct/>
        <w:topLinePunct w:val="0"/>
        <w:autoSpaceDE/>
        <w:autoSpaceDN/>
        <w:bidi w:val="0"/>
        <w:adjustRightInd w:val="0"/>
        <w:snapToGrid w:val="0"/>
        <w:spacing w:line="6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本项目小微产业园内拟建设冷链食品、预制菜加工仓储物流配送中心，依托物流枢纽、物流中心、物流企业和第三方供应链管理，搭建涵盖产地预冷、初加工、冷藏保鲜、冷链运输等设施设备的农产品物流集散中心和现代化食品生产加工基地。通过对冷链物流基础设施的建设与完善，可健全冷链物流标准化设施和监控设施体系，同时本项目从存储、精选、加工、包装、物流配送等环节进行技术革新，保证生鲜食品冷藏效率，提高食品质量安全水平，努力提升冷链物流园信息化水平，延伸产业链，构建供应链生态圈。</w:t>
      </w:r>
    </w:p>
    <w:p>
      <w:pPr>
        <w:kinsoku/>
        <w:wordWrap/>
        <w:overflowPunct/>
        <w:topLinePunct w:val="0"/>
        <w:autoSpaceDE/>
        <w:autoSpaceDN/>
        <w:bidi w:val="0"/>
        <w:adjustRightInd w:val="0"/>
        <w:snapToGrid w:val="0"/>
        <w:spacing w:line="6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冷链物流基础设施的建设，可与片区周边的赖店屠宰场对接，打造猪肉等生鲜食品宰杀运输一条龙服务，聚集并推动周边生鲜冷链物流上下游企业发展，从而解决猪肉等生鲜食品宰杀后，保存难、运输难的问题，进而改善赖店镇生鲜食品及农产品流通状况，实现农产品的更大流通价值，也有利于提高赖店镇农产品的市场竞争力，增加农业从业者的经济收入，促进经济社会发展。</w:t>
      </w:r>
    </w:p>
    <w:p>
      <w:pPr>
        <w:pageBreakBefore w:val="0"/>
        <w:widowControl w:val="0"/>
        <w:kinsoku/>
        <w:wordWrap/>
        <w:overflowPunct/>
        <w:topLinePunct w:val="0"/>
        <w:autoSpaceDE/>
        <w:autoSpaceDN/>
        <w:bidi w:val="0"/>
        <w:adjustRightInd w:val="0"/>
        <w:snapToGrid w:val="0"/>
        <w:spacing w:before="223" w:beforeLines="50" w:after="223" w:afterLines="50" w:line="600" w:lineRule="exact"/>
        <w:ind w:left="0" w:leftChars="0" w:firstLine="602" w:firstLineChars="200"/>
        <w:textAlignment w:val="auto"/>
        <w:outlineLvl w:val="1"/>
        <w:rPr>
          <w:rFonts w:hint="eastAsia" w:ascii="仿宋" w:hAnsi="仿宋" w:eastAsia="仿宋" w:cs="仿宋"/>
          <w:b/>
          <w:bCs/>
          <w:kern w:val="0"/>
          <w:sz w:val="30"/>
          <w:szCs w:val="30"/>
          <w:highlight w:val="none"/>
          <w:lang w:eastAsia="zh-CN"/>
        </w:rPr>
      </w:pPr>
      <w:bookmarkStart w:id="5" w:name="_Toc10547"/>
      <w:bookmarkStart w:id="6" w:name="_Toc33"/>
      <w:bookmarkStart w:id="7" w:name="_Toc71533297"/>
      <w:bookmarkStart w:id="8" w:name="_Toc25851"/>
      <w:bookmarkStart w:id="9" w:name="_Toc5675"/>
      <w:bookmarkStart w:id="10" w:name="_Toc26974"/>
      <w:bookmarkStart w:id="11" w:name="_Toc1447"/>
      <w:bookmarkStart w:id="12" w:name="_Toc1212"/>
      <w:r>
        <w:rPr>
          <w:rFonts w:hint="eastAsia" w:ascii="仿宋" w:hAnsi="仿宋" w:eastAsia="仿宋" w:cs="仿宋"/>
          <w:b/>
          <w:bCs/>
          <w:kern w:val="0"/>
          <w:sz w:val="30"/>
          <w:szCs w:val="30"/>
          <w:highlight w:val="none"/>
          <w:lang w:eastAsia="zh-CN"/>
        </w:rPr>
        <w:t>（二）</w:t>
      </w:r>
      <w:r>
        <w:rPr>
          <w:rFonts w:hint="eastAsia" w:ascii="仿宋" w:hAnsi="仿宋" w:eastAsia="仿宋" w:cs="仿宋"/>
          <w:b/>
          <w:bCs/>
          <w:kern w:val="0"/>
          <w:sz w:val="30"/>
          <w:szCs w:val="30"/>
          <w:highlight w:val="none"/>
        </w:rPr>
        <w:t>科学合理性</w:t>
      </w:r>
      <w:bookmarkEnd w:id="5"/>
      <w:bookmarkEnd w:id="6"/>
      <w:bookmarkEnd w:id="7"/>
      <w:bookmarkEnd w:id="8"/>
      <w:r>
        <w:rPr>
          <w:rFonts w:hint="eastAsia" w:ascii="仿宋" w:hAnsi="仿宋" w:eastAsia="仿宋" w:cs="仿宋"/>
          <w:b/>
          <w:bCs/>
          <w:kern w:val="0"/>
          <w:sz w:val="30"/>
          <w:szCs w:val="30"/>
          <w:highlight w:val="none"/>
          <w:lang w:eastAsia="zh-CN"/>
        </w:rPr>
        <w:t>分析</w:t>
      </w:r>
      <w:bookmarkEnd w:id="9"/>
      <w:bookmarkEnd w:id="10"/>
      <w:bookmarkEnd w:id="11"/>
      <w:bookmarkEnd w:id="12"/>
    </w:p>
    <w:p>
      <w:pPr>
        <w:pageBreakBefore w:val="0"/>
        <w:kinsoku/>
        <w:wordWrap/>
        <w:overflowPunct/>
        <w:topLinePunct w:val="0"/>
        <w:autoSpaceDE/>
        <w:autoSpaceDN/>
        <w:bidi w:val="0"/>
        <w:snapToGrid w:val="0"/>
        <w:spacing w:line="600" w:lineRule="exact"/>
        <w:ind w:left="0" w:leftChars="0" w:firstLine="600" w:firstLineChars="200"/>
        <w:textAlignment w:val="auto"/>
        <w:rPr>
          <w:rFonts w:hint="eastAsia" w:ascii="仿宋" w:hAnsi="仿宋" w:eastAsia="仿宋" w:cs="仿宋"/>
          <w:b w:val="0"/>
          <w:bCs/>
          <w:sz w:val="30"/>
          <w:szCs w:val="30"/>
          <w:highlight w:val="none"/>
        </w:rPr>
      </w:pPr>
      <w:r>
        <w:rPr>
          <w:rFonts w:hint="eastAsia" w:ascii="仿宋" w:hAnsi="仿宋" w:eastAsia="仿宋" w:cs="仿宋"/>
          <w:b w:val="0"/>
          <w:bCs/>
          <w:sz w:val="30"/>
          <w:szCs w:val="30"/>
          <w:highlight w:val="none"/>
        </w:rPr>
        <w:t>1、选址</w:t>
      </w:r>
      <w:r>
        <w:rPr>
          <w:rFonts w:hint="eastAsia" w:ascii="仿宋" w:hAnsi="仿宋" w:eastAsia="仿宋" w:cs="仿宋"/>
          <w:b w:val="0"/>
          <w:bCs/>
          <w:sz w:val="30"/>
          <w:szCs w:val="30"/>
          <w:highlight w:val="none"/>
          <w:lang w:eastAsia="zh-CN"/>
        </w:rPr>
        <w:t>科学</w:t>
      </w:r>
      <w:r>
        <w:rPr>
          <w:rFonts w:hint="eastAsia" w:ascii="仿宋" w:hAnsi="仿宋" w:eastAsia="仿宋" w:cs="仿宋"/>
          <w:b w:val="0"/>
          <w:bCs/>
          <w:sz w:val="30"/>
          <w:szCs w:val="30"/>
          <w:highlight w:val="none"/>
        </w:rPr>
        <w:t>合理</w:t>
      </w:r>
    </w:p>
    <w:p>
      <w:pPr>
        <w:kinsoku/>
        <w:wordWrap/>
        <w:overflowPunct/>
        <w:topLinePunct w:val="0"/>
        <w:autoSpaceDE/>
        <w:autoSpaceDN/>
        <w:bidi w:val="0"/>
        <w:snapToGrid w:val="0"/>
        <w:spacing w:line="6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本方案位于仙游县赖店镇，区域已建成国道356，同时规划建设东二环路等交通主干道与外界连通，路网结构较为完善，交通便捷。此外，方案区域有已建成的仙游县南方中学、莆田市新协胜鞋业旧厂等，区位优势明显，且给、排水条件完备，供电保障率高，建设条件良好。本方案范围的划定充分考虑并协调“三区三线”，未占用永久基本农田、生态保护红线，范围全部落在城镇开发边界的集中建设区范围内。</w:t>
      </w:r>
    </w:p>
    <w:p>
      <w:pPr>
        <w:pageBreakBefore w:val="0"/>
        <w:kinsoku/>
        <w:wordWrap/>
        <w:overflowPunct/>
        <w:topLinePunct w:val="0"/>
        <w:autoSpaceDE/>
        <w:autoSpaceDN/>
        <w:bidi w:val="0"/>
        <w:snapToGrid w:val="0"/>
        <w:spacing w:line="600" w:lineRule="exact"/>
        <w:ind w:left="0" w:leftChars="0" w:firstLine="600" w:firstLineChars="200"/>
        <w:textAlignment w:val="auto"/>
        <w:rPr>
          <w:rFonts w:hint="eastAsia" w:ascii="仿宋" w:hAnsi="仿宋" w:eastAsia="仿宋" w:cs="仿宋"/>
          <w:b w:val="0"/>
          <w:bCs/>
          <w:sz w:val="30"/>
          <w:szCs w:val="30"/>
          <w:highlight w:val="none"/>
          <w:lang w:eastAsia="zh-CN"/>
        </w:rPr>
      </w:pPr>
      <w:r>
        <w:rPr>
          <w:rFonts w:hint="eastAsia" w:ascii="仿宋" w:hAnsi="仿宋" w:eastAsia="仿宋" w:cs="仿宋"/>
          <w:b w:val="0"/>
          <w:bCs/>
          <w:sz w:val="30"/>
          <w:szCs w:val="30"/>
          <w:highlight w:val="none"/>
        </w:rPr>
        <w:t>2、</w:t>
      </w:r>
      <w:r>
        <w:rPr>
          <w:rFonts w:hint="eastAsia" w:ascii="仿宋" w:hAnsi="仿宋" w:eastAsia="仿宋" w:cs="仿宋"/>
          <w:b w:val="0"/>
          <w:bCs/>
          <w:sz w:val="30"/>
          <w:szCs w:val="30"/>
          <w:highlight w:val="none"/>
          <w:lang w:eastAsia="zh-CN"/>
        </w:rPr>
        <w:t>功能定位科学合理</w:t>
      </w:r>
    </w:p>
    <w:p>
      <w:pPr>
        <w:kinsoku/>
        <w:wordWrap/>
        <w:overflowPunct/>
        <w:topLinePunct w:val="0"/>
        <w:autoSpaceDE/>
        <w:autoSpaceDN/>
        <w:bidi w:val="0"/>
        <w:snapToGrid w:val="0"/>
        <w:spacing w:line="6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本方案项目用地拟引进农产品加工及冷链物流企业，符合园区的规划定位，其产业类型也不属于《产业结构调整指导目录（2019年本）》中的“限制类”和“淘汰类”范围，该项目的建设符合国家产业政策要求。</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00" w:firstLineChars="200"/>
        <w:jc w:val="left"/>
        <w:textAlignment w:val="auto"/>
        <w:outlineLvl w:val="9"/>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3</w:t>
      </w:r>
      <w:r>
        <w:rPr>
          <w:rFonts w:hint="eastAsia" w:ascii="仿宋" w:hAnsi="仿宋" w:eastAsia="仿宋" w:cs="仿宋"/>
          <w:color w:val="000000"/>
          <w:sz w:val="30"/>
          <w:szCs w:val="30"/>
          <w:highlight w:val="none"/>
          <w:lang w:eastAsia="zh-CN"/>
        </w:rPr>
        <w:t>、</w:t>
      </w:r>
      <w:r>
        <w:rPr>
          <w:rFonts w:hint="eastAsia" w:ascii="仿宋" w:hAnsi="仿宋" w:eastAsia="仿宋" w:cs="仿宋"/>
          <w:color w:val="000000"/>
          <w:sz w:val="30"/>
          <w:szCs w:val="30"/>
          <w:highlight w:val="none"/>
        </w:rPr>
        <w:t>用地规模科学合理</w:t>
      </w:r>
    </w:p>
    <w:p>
      <w:pPr>
        <w:pStyle w:val="20"/>
        <w:pageBreakBefore w:val="0"/>
        <w:widowControl w:val="0"/>
        <w:kinsoku/>
        <w:wordWrap/>
        <w:overflowPunct/>
        <w:topLinePunct w:val="0"/>
        <w:autoSpaceDE/>
        <w:autoSpaceDN/>
        <w:bidi w:val="0"/>
        <w:adjustRightInd/>
        <w:spacing w:line="600" w:lineRule="exact"/>
        <w:ind w:left="0" w:leftChars="0" w:firstLine="600" w:firstLineChars="200"/>
        <w:jc w:val="left"/>
        <w:textAlignment w:val="auto"/>
        <w:rPr>
          <w:rFonts w:hint="eastAsia" w:ascii="仿宋" w:hAnsi="仿宋" w:eastAsia="仿宋" w:cs="仿宋"/>
          <w:color w:val="000000"/>
          <w:kern w:val="0"/>
          <w:sz w:val="30"/>
          <w:szCs w:val="30"/>
          <w:highlight w:val="none"/>
        </w:rPr>
      </w:pPr>
      <w:r>
        <w:rPr>
          <w:rFonts w:hint="eastAsia" w:ascii="仿宋" w:hAnsi="仿宋" w:eastAsia="仿宋" w:cs="仿宋"/>
          <w:color w:val="000000"/>
          <w:sz w:val="30"/>
          <w:szCs w:val="30"/>
          <w:highlight w:val="none"/>
        </w:rPr>
        <w:t>本</w:t>
      </w:r>
      <w:r>
        <w:rPr>
          <w:rFonts w:hint="eastAsia" w:ascii="仿宋" w:hAnsi="仿宋" w:eastAsia="仿宋" w:cs="仿宋"/>
          <w:color w:val="000000"/>
          <w:sz w:val="30"/>
          <w:szCs w:val="30"/>
          <w:highlight w:val="none"/>
          <w:lang w:eastAsia="zh-CN"/>
        </w:rPr>
        <w:t>开发</w:t>
      </w:r>
      <w:r>
        <w:rPr>
          <w:rFonts w:hint="eastAsia" w:ascii="仿宋" w:hAnsi="仿宋" w:eastAsia="仿宋" w:cs="仿宋"/>
          <w:color w:val="000000"/>
          <w:sz w:val="30"/>
          <w:szCs w:val="30"/>
          <w:highlight w:val="none"/>
        </w:rPr>
        <w:t>方案主要</w:t>
      </w:r>
      <w:r>
        <w:rPr>
          <w:rFonts w:hint="eastAsia" w:ascii="仿宋" w:hAnsi="仿宋" w:eastAsia="仿宋" w:cs="仿宋"/>
          <w:color w:val="000000"/>
          <w:sz w:val="30"/>
          <w:szCs w:val="30"/>
          <w:highlight w:val="none"/>
          <w:lang w:eastAsia="zh-CN"/>
        </w:rPr>
        <w:t>用于</w:t>
      </w:r>
      <w:r>
        <w:rPr>
          <w:rFonts w:hint="eastAsia" w:ascii="仿宋" w:hAnsi="仿宋" w:eastAsia="仿宋" w:cs="仿宋"/>
          <w:color w:val="000000"/>
          <w:sz w:val="30"/>
          <w:szCs w:val="30"/>
          <w:highlight w:val="none"/>
        </w:rPr>
        <w:t>发展</w:t>
      </w:r>
      <w:r>
        <w:rPr>
          <w:rFonts w:hint="eastAsia" w:ascii="仿宋" w:hAnsi="仿宋" w:eastAsia="仿宋" w:cs="仿宋"/>
          <w:sz w:val="30"/>
          <w:szCs w:val="30"/>
          <w:highlight w:val="none"/>
        </w:rPr>
        <w:t>食品及农副产品</w:t>
      </w:r>
      <w:r>
        <w:rPr>
          <w:rFonts w:hint="eastAsia" w:ascii="仿宋" w:hAnsi="仿宋" w:eastAsia="仿宋" w:cs="仿宋"/>
          <w:color w:val="000000"/>
          <w:kern w:val="0"/>
          <w:sz w:val="30"/>
          <w:szCs w:val="30"/>
          <w:highlight w:val="none"/>
          <w:lang w:eastAsia="zh-CN"/>
        </w:rPr>
        <w:t>的</w:t>
      </w:r>
      <w:r>
        <w:rPr>
          <w:rFonts w:hint="eastAsia" w:ascii="仿宋" w:hAnsi="仿宋" w:eastAsia="仿宋" w:cs="仿宋"/>
          <w:color w:val="000000"/>
          <w:kern w:val="0"/>
          <w:sz w:val="30"/>
          <w:szCs w:val="30"/>
          <w:highlight w:val="none"/>
          <w:lang w:val="en-US" w:eastAsia="zh-CN"/>
        </w:rPr>
        <w:t>加工生产</w:t>
      </w:r>
      <w:r>
        <w:rPr>
          <w:rFonts w:hint="eastAsia" w:ascii="仿宋" w:hAnsi="仿宋" w:eastAsia="仿宋" w:cs="仿宋"/>
          <w:color w:val="000000"/>
          <w:kern w:val="0"/>
          <w:sz w:val="30"/>
          <w:szCs w:val="30"/>
          <w:highlight w:val="none"/>
        </w:rPr>
        <w:t>，开发总规模</w:t>
      </w:r>
      <w:r>
        <w:rPr>
          <w:rFonts w:hint="eastAsia" w:ascii="仿宋" w:hAnsi="仿宋" w:eastAsia="仿宋" w:cs="仿宋"/>
          <w:color w:val="000000"/>
          <w:kern w:val="0"/>
          <w:sz w:val="30"/>
          <w:szCs w:val="30"/>
          <w:highlight w:val="none"/>
          <w:lang w:val="en-US" w:eastAsia="zh-CN" w:bidi="ar-SA"/>
        </w:rPr>
        <w:t>14.5811</w:t>
      </w:r>
      <w:r>
        <w:rPr>
          <w:rFonts w:hint="eastAsia" w:ascii="仿宋" w:hAnsi="仿宋" w:eastAsia="仿宋" w:cs="仿宋"/>
          <w:color w:val="000000"/>
          <w:kern w:val="0"/>
          <w:sz w:val="30"/>
          <w:szCs w:val="30"/>
          <w:highlight w:val="none"/>
        </w:rPr>
        <w:t>公顷，公益性占比</w:t>
      </w:r>
      <w:r>
        <w:rPr>
          <w:rFonts w:hint="eastAsia" w:ascii="仿宋" w:hAnsi="仿宋" w:eastAsia="仿宋" w:cs="仿宋"/>
          <w:color w:val="000000"/>
          <w:kern w:val="0"/>
          <w:sz w:val="30"/>
          <w:szCs w:val="30"/>
          <w:highlight w:val="none"/>
          <w:lang w:val="en-US" w:eastAsia="zh-CN" w:bidi="ar-SA"/>
        </w:rPr>
        <w:t>43.63</w:t>
      </w:r>
      <w:r>
        <w:rPr>
          <w:rFonts w:hint="eastAsia" w:ascii="仿宋" w:hAnsi="仿宋" w:eastAsia="仿宋" w:cs="仿宋"/>
          <w:color w:val="000000"/>
          <w:kern w:val="0"/>
          <w:sz w:val="30"/>
          <w:szCs w:val="30"/>
          <w:highlight w:val="none"/>
        </w:rPr>
        <w:t>%，规模科学合理。本方案严格依据《土地征收成片开发标准（试行）》（自然资规〔2020〕5 号）及《实施细则》等相关政策文件，并做好了国土空间规划的衔接，符合相关规划和政策文件要求。</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四、规划土地用途及实现功能分析</w:t>
      </w:r>
    </w:p>
    <w:p>
      <w:pPr>
        <w:kinsoku/>
        <w:wordWrap/>
        <w:overflowPunct/>
        <w:topLinePunct w:val="0"/>
        <w:autoSpaceDE/>
        <w:autoSpaceDN/>
        <w:bidi w:val="0"/>
        <w:snapToGrid w:val="0"/>
        <w:spacing w:line="6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本方案用地总面积14.5811公顷，主要用途为工业用地。</w:t>
      </w:r>
      <w:r>
        <w:rPr>
          <w:rFonts w:hint="eastAsia" w:ascii="仿宋" w:hAnsi="仿宋" w:eastAsia="仿宋" w:cs="仿宋"/>
          <w:sz w:val="30"/>
          <w:szCs w:val="30"/>
          <w:lang w:val="en-US" w:eastAsia="zh-CN"/>
        </w:rPr>
        <w:t>其中：</w:t>
      </w:r>
      <w:r>
        <w:rPr>
          <w:rFonts w:hint="eastAsia" w:ascii="仿宋" w:hAnsi="仿宋" w:eastAsia="仿宋" w:cs="仿宋"/>
          <w:sz w:val="30"/>
          <w:szCs w:val="30"/>
        </w:rPr>
        <w:t>工业用地8.2185公顷，主要用于标准化厂房建设；促进产业发展的功能；城镇道路用地2.3345公顷，实现厂区区内与区外的交通功能；文化用地0.9265公顷，用于展览、综合文化活动中心等建设用地；防护绿地面积2.9315公顷，实现区域安全隔离，降低污染功能；环卫用地面积0.1701公顷，实现区域垃圾转运、环卫车辆清洗、环卫车辆停放修理等功能。</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五、公益性用地情况</w:t>
      </w:r>
    </w:p>
    <w:p>
      <w:pPr>
        <w:kinsoku/>
        <w:wordWrap/>
        <w:overflowPunct/>
        <w:topLinePunct w:val="0"/>
        <w:autoSpaceDE/>
        <w:autoSpaceDN/>
        <w:bidi w:val="0"/>
        <w:snapToGrid w:val="0"/>
        <w:spacing w:line="6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公益性用地包含城镇道路用地、文化用地、防护绿地和环卫用地，合计6.3626公顷，占用地总面积的43.64%，符合自然资规〔2020〕5号文规定。</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六、规划符合情况</w:t>
      </w:r>
    </w:p>
    <w:p>
      <w:pPr>
        <w:adjustRightInd w:val="0"/>
        <w:snapToGrid w:val="0"/>
        <w:spacing w:line="600" w:lineRule="exact"/>
        <w:ind w:firstLine="620" w:firstLineChars="200"/>
        <w:rPr>
          <w:rFonts w:ascii="Times New Roman" w:hAnsi="Times New Roman" w:eastAsia="仿宋_GB2312" w:cs="Times New Roman"/>
          <w:sz w:val="32"/>
          <w:szCs w:val="32"/>
        </w:rPr>
      </w:pPr>
      <w:r>
        <w:rPr>
          <w:rFonts w:ascii="Times New Roman" w:hAnsi="Times New Roman" w:eastAsia="仿宋_GB2312" w:cs="Times New Roman"/>
          <w:kern w:val="0"/>
          <w:sz w:val="31"/>
          <w:szCs w:val="31"/>
          <w:lang w:bidi="ar"/>
        </w:rPr>
        <w:t>本方案符合国民经济和社会发展规划的发展定位、要求，有利于完成规划目标、任务，已纳入国民经济和社会发展年度计划。</w:t>
      </w:r>
      <w:r>
        <w:rPr>
          <w:rFonts w:ascii="Times New Roman" w:hAnsi="Times New Roman" w:eastAsia="仿宋_GB2312" w:cs="Times New Roman"/>
          <w:sz w:val="32"/>
          <w:szCs w:val="32"/>
        </w:rPr>
        <w:t>本方案已纳入最新上报的城镇开发边界的集中建设区内，仙游县人民政府承诺，将土地征收成片开发范围纳入过渡期城镇开发边界及国土空间规划确定的城镇开发边界内的集中建设区，并符合规划管控要求。</w:t>
      </w:r>
    </w:p>
    <w:p>
      <w:pPr>
        <w:widowControl/>
        <w:tabs>
          <w:tab w:val="left" w:pos="2730"/>
        </w:tabs>
        <w:jc w:val="left"/>
        <w:outlineLvl w:val="1"/>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七</w:t>
      </w:r>
      <w:r>
        <w:rPr>
          <w:rFonts w:ascii="Times New Roman" w:hAnsi="Times New Roman" w:eastAsia="黑体" w:cs="Times New Roman"/>
          <w:kern w:val="0"/>
          <w:sz w:val="31"/>
          <w:szCs w:val="31"/>
          <w:lang w:bidi="ar"/>
        </w:rPr>
        <w:t>、效益评估</w:t>
      </w:r>
    </w:p>
    <w:p>
      <w:pPr>
        <w:spacing w:line="600" w:lineRule="exact"/>
        <w:ind w:firstLine="620" w:firstLineChars="200"/>
        <w:rPr>
          <w:rFonts w:eastAsia="仿宋_GB2312"/>
          <w:sz w:val="32"/>
          <w:szCs w:val="32"/>
        </w:rPr>
      </w:pPr>
      <w:r>
        <w:rPr>
          <w:rFonts w:ascii="Times New Roman" w:hAnsi="Times New Roman" w:eastAsia="仿宋_GB2312" w:cs="Times New Roman"/>
          <w:kern w:val="0"/>
          <w:sz w:val="31"/>
          <w:szCs w:val="31"/>
          <w:lang w:bidi="ar"/>
        </w:rPr>
        <w:t>（一）土地利用效益：</w:t>
      </w:r>
      <w:r>
        <w:rPr>
          <w:rFonts w:ascii="Times New Roman" w:hAnsi="Times New Roman" w:eastAsia="仿宋_GB2312" w:cs="Times New Roman"/>
          <w:sz w:val="32"/>
          <w:szCs w:val="32"/>
        </w:rPr>
        <w:t>通过土地利用开发，</w:t>
      </w:r>
      <w:r>
        <w:rPr>
          <w:rFonts w:eastAsia="仿宋_GB2312"/>
          <w:sz w:val="32"/>
          <w:szCs w:val="32"/>
        </w:rPr>
        <w:t>可以有效整合区域内土地资源，促进土地资源要素的统筹利用，科学合理布局各类用地，有效推动土地集约、节约利用。</w:t>
      </w:r>
    </w:p>
    <w:p>
      <w:pPr>
        <w:adjustRightInd w:val="0"/>
        <w:snapToGrid w:val="0"/>
        <w:spacing w:line="600" w:lineRule="exact"/>
        <w:ind w:firstLine="570"/>
        <w:rPr>
          <w:rFonts w:hint="eastAsia" w:eastAsia="仿宋_GB2312"/>
          <w:color w:val="auto"/>
          <w:sz w:val="32"/>
          <w:szCs w:val="32"/>
        </w:rPr>
      </w:pPr>
      <w:r>
        <w:rPr>
          <w:rFonts w:ascii="Times New Roman" w:hAnsi="Times New Roman" w:eastAsia="仿宋_GB2312" w:cs="Times New Roman"/>
          <w:kern w:val="0"/>
          <w:sz w:val="31"/>
          <w:szCs w:val="31"/>
          <w:lang w:bidi="ar"/>
        </w:rPr>
        <w:t>（二）经济效益：</w:t>
      </w:r>
      <w:r>
        <w:rPr>
          <w:rFonts w:eastAsia="仿宋_GB2312"/>
          <w:color w:val="auto"/>
          <w:sz w:val="32"/>
          <w:szCs w:val="32"/>
        </w:rPr>
        <w:t>本方案工业项目</w:t>
      </w:r>
      <w:r>
        <w:rPr>
          <w:rFonts w:hint="eastAsia" w:eastAsia="仿宋_GB2312"/>
          <w:color w:val="auto"/>
          <w:sz w:val="32"/>
          <w:szCs w:val="32"/>
        </w:rPr>
        <w:t>总投资</w:t>
      </w:r>
      <w:r>
        <w:rPr>
          <w:rFonts w:hint="eastAsia"/>
          <w:color w:val="auto"/>
          <w:sz w:val="32"/>
          <w:szCs w:val="32"/>
          <w:lang w:eastAsia="zh-CN"/>
        </w:rPr>
        <w:t>约</w:t>
      </w:r>
      <w:r>
        <w:rPr>
          <w:rFonts w:hint="eastAsia" w:eastAsia="仿宋_GB2312"/>
          <w:color w:val="auto"/>
          <w:sz w:val="32"/>
          <w:szCs w:val="32"/>
          <w:lang w:val="en-US" w:eastAsia="zh-CN"/>
        </w:rPr>
        <w:t>2</w:t>
      </w:r>
      <w:r>
        <w:rPr>
          <w:rFonts w:hint="eastAsia"/>
          <w:color w:val="auto"/>
          <w:sz w:val="32"/>
          <w:szCs w:val="32"/>
          <w:lang w:eastAsia="zh-CN"/>
        </w:rPr>
        <w:t>亿</w:t>
      </w:r>
      <w:r>
        <w:rPr>
          <w:rFonts w:hint="eastAsia" w:eastAsia="仿宋_GB2312"/>
          <w:color w:val="auto"/>
          <w:sz w:val="32"/>
          <w:szCs w:val="32"/>
        </w:rPr>
        <w:t>元</w:t>
      </w:r>
      <w:r>
        <w:rPr>
          <w:rFonts w:hint="eastAsia" w:eastAsia="仿宋_GB2312"/>
          <w:color w:val="auto"/>
          <w:sz w:val="32"/>
          <w:szCs w:val="32"/>
          <w:lang w:eastAsia="zh-CN"/>
        </w:rPr>
        <w:t>，</w:t>
      </w:r>
      <w:r>
        <w:rPr>
          <w:rFonts w:hint="eastAsia" w:ascii="仿宋" w:hAnsi="仿宋" w:eastAsia="仿宋" w:cs="仿宋"/>
          <w:sz w:val="30"/>
          <w:szCs w:val="30"/>
        </w:rPr>
        <w:t>建设预计可创造税收不低于2000万元，带来新的税收增长点，增强农产品的市场竞争力，促进产业结构的调整和优化、提升产业的档次水平。实现更好的经济效益。</w:t>
      </w:r>
    </w:p>
    <w:p>
      <w:pPr>
        <w:snapToGrid w:val="0"/>
        <w:spacing w:line="600" w:lineRule="exact"/>
        <w:ind w:firstLine="620" w:firstLineChars="200"/>
        <w:rPr>
          <w:rFonts w:ascii="Times New Roman" w:hAnsi="Times New Roman" w:eastAsia="仿宋_GB2312" w:cs="Times New Roman"/>
          <w:kern w:val="0"/>
          <w:sz w:val="31"/>
          <w:szCs w:val="31"/>
          <w:lang w:bidi="ar"/>
        </w:rPr>
      </w:pPr>
      <w:r>
        <w:rPr>
          <w:rFonts w:ascii="Times New Roman" w:hAnsi="Times New Roman" w:eastAsia="仿宋_GB2312" w:cs="Times New Roman"/>
          <w:kern w:val="0"/>
          <w:sz w:val="31"/>
          <w:szCs w:val="31"/>
          <w:lang w:bidi="ar"/>
        </w:rPr>
        <w:t>（三）社会效益：本方案的实施</w:t>
      </w:r>
      <w:r>
        <w:rPr>
          <w:rFonts w:ascii="Times New Roman" w:hAnsi="Times New Roman" w:eastAsia="仿宋_GB2312" w:cs="Times New Roman"/>
          <w:sz w:val="32"/>
          <w:szCs w:val="32"/>
          <w:shd w:val="clear" w:color="auto" w:fill="FFFFFF"/>
        </w:rPr>
        <w:t>有利于完善基础设施；</w:t>
      </w:r>
      <w:r>
        <w:rPr>
          <w:rFonts w:hint="eastAsia" w:ascii="Times New Roman" w:hAnsi="Times New Roman" w:eastAsia="仿宋_GB2312" w:cs="Times New Roman"/>
          <w:kern w:val="0"/>
          <w:sz w:val="31"/>
          <w:szCs w:val="31"/>
          <w:lang w:bidi="ar"/>
        </w:rPr>
        <w:t>有利于</w:t>
      </w:r>
      <w:r>
        <w:rPr>
          <w:rFonts w:ascii="Times New Roman" w:hAnsi="Times New Roman" w:eastAsia="仿宋_GB2312" w:cs="Times New Roman"/>
          <w:sz w:val="32"/>
          <w:szCs w:val="32"/>
          <w:shd w:val="clear" w:color="auto" w:fill="FFFFFF"/>
        </w:rPr>
        <w:t>增加就业机会，提高居民人均收入。</w:t>
      </w:r>
    </w:p>
    <w:p>
      <w:pPr>
        <w:snapToGrid w:val="0"/>
        <w:spacing w:line="600" w:lineRule="exact"/>
        <w:ind w:firstLine="620" w:firstLineChars="200"/>
        <w:rPr>
          <w:rFonts w:ascii="Times New Roman" w:hAnsi="Times New Roman" w:eastAsia="仿宋_GB2312" w:cs="Times New Roman"/>
          <w:sz w:val="32"/>
          <w:szCs w:val="32"/>
        </w:rPr>
      </w:pPr>
      <w:r>
        <w:rPr>
          <w:rFonts w:ascii="Times New Roman" w:hAnsi="Times New Roman" w:eastAsia="仿宋_GB2312" w:cs="Times New Roman"/>
          <w:kern w:val="0"/>
          <w:sz w:val="31"/>
          <w:szCs w:val="31"/>
          <w:lang w:bidi="ar"/>
        </w:rPr>
        <w:t>（四）生态效益：本方案成片开发项目</w:t>
      </w:r>
      <w:r>
        <w:rPr>
          <w:rFonts w:eastAsia="仿宋_GB2312"/>
          <w:sz w:val="32"/>
          <w:szCs w:val="32"/>
        </w:rPr>
        <w:t>根据《工矿用地土壤环境管理办法（试行）》，加强工矿用地土壤和地下水环境保护监督管理，防治工矿用地土壤和地下水污染。</w:t>
      </w:r>
      <w:r>
        <w:rPr>
          <w:rFonts w:ascii="Times New Roman" w:hAnsi="Times New Roman" w:eastAsia="仿宋_GB2312" w:cs="Times New Roman"/>
          <w:sz w:val="32"/>
          <w:szCs w:val="32"/>
        </w:rPr>
        <w:t>在土地利用开发、规划等过程中，将严格按照相关法律法规落实水环境保护措施，确保满足周边及下游水环境质量与安全要求。</w:t>
      </w:r>
    </w:p>
    <w:p>
      <w:pPr>
        <w:overflowPunct w:val="0"/>
        <w:spacing w:line="600" w:lineRule="exact"/>
        <w:ind w:firstLine="620" w:firstLineChars="200"/>
        <w:jc w:val="left"/>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八</w:t>
      </w:r>
      <w:r>
        <w:rPr>
          <w:rFonts w:ascii="Times New Roman" w:hAnsi="Times New Roman" w:eastAsia="黑体" w:cs="Times New Roman"/>
          <w:kern w:val="0"/>
          <w:sz w:val="31"/>
          <w:szCs w:val="31"/>
          <w:lang w:bidi="ar"/>
        </w:rPr>
        <w:t>、结论</w:t>
      </w:r>
    </w:p>
    <w:p>
      <w:pPr>
        <w:pStyle w:val="5"/>
        <w:spacing w:before="0" w:after="0" w:line="600" w:lineRule="exact"/>
        <w:ind w:firstLine="620" w:firstLineChars="200"/>
        <w:rPr>
          <w:rFonts w:ascii="Times New Roman" w:hAnsi="Times New Roman" w:eastAsia="仿宋_GB2312" w:cs="Times New Roman"/>
          <w:b w:val="0"/>
          <w:bCs w:val="0"/>
          <w:kern w:val="0"/>
          <w:sz w:val="31"/>
          <w:szCs w:val="31"/>
          <w:lang w:bidi="ar"/>
        </w:rPr>
      </w:pPr>
      <w:r>
        <w:rPr>
          <w:rFonts w:ascii="Times New Roman" w:hAnsi="Times New Roman" w:eastAsia="仿宋_GB2312" w:cs="Times New Roman"/>
          <w:b w:val="0"/>
          <w:bCs w:val="0"/>
          <w:kern w:val="0"/>
          <w:sz w:val="31"/>
          <w:szCs w:val="31"/>
          <w:lang w:bidi="ar"/>
        </w:rPr>
        <w:t>《仙游县202</w:t>
      </w:r>
      <w:r>
        <w:rPr>
          <w:rFonts w:hint="eastAsia" w:ascii="Times New Roman" w:hAnsi="Times New Roman" w:eastAsia="仿宋_GB2312" w:cs="Times New Roman"/>
          <w:b w:val="0"/>
          <w:bCs w:val="0"/>
          <w:kern w:val="0"/>
          <w:sz w:val="31"/>
          <w:szCs w:val="31"/>
          <w:lang w:val="en-US" w:eastAsia="zh-CN" w:bidi="ar"/>
        </w:rPr>
        <w:t>3</w:t>
      </w:r>
      <w:r>
        <w:rPr>
          <w:rFonts w:ascii="Times New Roman" w:hAnsi="Times New Roman" w:eastAsia="仿宋_GB2312" w:cs="Times New Roman"/>
          <w:b w:val="0"/>
          <w:bCs w:val="0"/>
          <w:kern w:val="0"/>
          <w:sz w:val="31"/>
          <w:szCs w:val="31"/>
          <w:lang w:bidi="ar"/>
        </w:rPr>
        <w:t>年度第</w:t>
      </w:r>
      <w:r>
        <w:rPr>
          <w:rFonts w:hint="eastAsia" w:ascii="Times New Roman" w:hAnsi="Times New Roman" w:eastAsia="仿宋_GB2312" w:cs="Times New Roman"/>
          <w:b w:val="0"/>
          <w:bCs w:val="0"/>
          <w:kern w:val="0"/>
          <w:sz w:val="31"/>
          <w:szCs w:val="31"/>
          <w:lang w:eastAsia="zh-CN" w:bidi="ar"/>
        </w:rPr>
        <w:t>五</w:t>
      </w:r>
      <w:r>
        <w:rPr>
          <w:rFonts w:ascii="Times New Roman" w:hAnsi="Times New Roman" w:eastAsia="仿宋_GB2312" w:cs="Times New Roman"/>
          <w:b w:val="0"/>
          <w:bCs w:val="0"/>
          <w:kern w:val="0"/>
          <w:sz w:val="31"/>
          <w:szCs w:val="31"/>
          <w:lang w:bidi="ar"/>
        </w:rPr>
        <w:t>批次土地征收成片开发方案（</w:t>
      </w:r>
      <w:r>
        <w:rPr>
          <w:rFonts w:hint="eastAsia" w:ascii="Times New Roman" w:hAnsi="Times New Roman" w:eastAsia="仿宋_GB2312" w:cs="Times New Roman"/>
          <w:b w:val="0"/>
          <w:bCs w:val="0"/>
          <w:kern w:val="0"/>
          <w:sz w:val="31"/>
          <w:szCs w:val="31"/>
          <w:lang w:val="en-US" w:eastAsia="zh-CN" w:bidi="ar"/>
        </w:rPr>
        <w:t>赖店小微产业园</w:t>
      </w:r>
      <w:r>
        <w:rPr>
          <w:rFonts w:ascii="Times New Roman" w:hAnsi="Times New Roman" w:eastAsia="仿宋_GB2312" w:cs="Times New Roman"/>
          <w:b w:val="0"/>
          <w:bCs w:val="0"/>
          <w:kern w:val="0"/>
          <w:sz w:val="31"/>
          <w:szCs w:val="31"/>
          <w:lang w:bidi="ar"/>
        </w:rPr>
        <w:t>）》符合土地征收成片开发的标准。</w:t>
      </w:r>
    </w:p>
    <w:p>
      <w:pPr>
        <w:overflowPunct w:val="0"/>
        <w:spacing w:line="600" w:lineRule="exact"/>
        <w:ind w:firstLine="560" w:firstLineChars="200"/>
        <w:jc w:val="left"/>
        <w:rPr>
          <w:rFonts w:ascii="Times New Roman" w:hAnsi="Times New Roman" w:cs="Times New Roman"/>
          <w:sz w:val="28"/>
          <w:szCs w:val="28"/>
        </w:rPr>
      </w:pPr>
      <w:r>
        <w:rPr>
          <w:rFonts w:ascii="Times New Roman" w:hAnsi="Times New Roman" w:cs="Times New Roman"/>
          <w:sz w:val="28"/>
          <w:szCs w:val="28"/>
        </w:rPr>
        <w:br w:type="page"/>
      </w:r>
    </w:p>
    <w:p>
      <w:pPr>
        <w:rPr>
          <w:rFonts w:ascii="Times New Roman" w:hAnsi="Times New Roman" w:cs="Times New Roman"/>
          <w:sz w:val="28"/>
          <w:szCs w:val="28"/>
        </w:rPr>
        <w:sectPr>
          <w:pgSz w:w="11906" w:h="16838"/>
          <w:pgMar w:top="1440" w:right="1797" w:bottom="1440" w:left="1797" w:header="851" w:footer="992" w:gutter="0"/>
          <w:cols w:space="425" w:num="1"/>
          <w:docGrid w:type="lines" w:linePitch="312" w:charSpace="0"/>
        </w:sectPr>
      </w:pPr>
    </w:p>
    <w:p>
      <w:pPr>
        <w:pStyle w:val="6"/>
        <w:spacing w:line="415" w:lineRule="auto"/>
        <w:rPr>
          <w:rFonts w:ascii="Times New Roman" w:hAnsi="Times New Roman" w:eastAsia="仿宋_GB2312" w:cs="Times New Roman"/>
          <w:b w:val="0"/>
          <w:bCs w:val="0"/>
          <w:kern w:val="0"/>
          <w:sz w:val="28"/>
          <w:szCs w:val="28"/>
          <w:lang w:bidi="ar"/>
        </w:rPr>
      </w:pPr>
      <w:r>
        <w:rPr>
          <w:rFonts w:ascii="Times New Roman" w:hAnsi="Times New Roman" w:eastAsia="仿宋_GB2312" w:cs="Times New Roman"/>
          <w:b w:val="0"/>
          <w:bCs w:val="0"/>
          <w:kern w:val="0"/>
          <w:sz w:val="28"/>
          <w:szCs w:val="28"/>
          <w:lang w:bidi="ar"/>
        </w:rPr>
        <w:t>附图1：位置示意图</w:t>
      </w:r>
    </w:p>
    <w:p>
      <w:pPr>
        <w:jc w:val="center"/>
        <w:rPr>
          <w:rFonts w:hint="eastAsia" w:ascii="Times New Roman" w:hAnsi="Times New Roman" w:eastAsia="仿宋_GB2312" w:cs="Times New Roman"/>
          <w:b/>
          <w:bCs/>
          <w:kern w:val="0"/>
          <w:sz w:val="28"/>
          <w:szCs w:val="28"/>
          <w:lang w:eastAsia="zh-CN" w:bidi="ar"/>
        </w:rPr>
      </w:pPr>
      <w:r>
        <w:rPr>
          <w:rFonts w:hint="eastAsia" w:ascii="Times New Roman" w:hAnsi="Times New Roman" w:eastAsia="仿宋_GB2312" w:cs="Times New Roman"/>
          <w:b/>
          <w:bCs/>
          <w:kern w:val="0"/>
          <w:sz w:val="28"/>
          <w:szCs w:val="28"/>
          <w:lang w:eastAsia="zh-CN" w:bidi="ar"/>
        </w:rPr>
        <w:drawing>
          <wp:inline distT="0" distB="0" distL="114300" distR="114300">
            <wp:extent cx="6635750" cy="4695190"/>
            <wp:effectExtent l="0" t="0" r="12700" b="10160"/>
            <wp:docPr id="1" name="图片 1" descr="成片开发位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成片开发位置示意图"/>
                    <pic:cNvPicPr>
                      <a:picLocks noChangeAspect="1"/>
                    </pic:cNvPicPr>
                  </pic:nvPicPr>
                  <pic:blipFill>
                    <a:blip r:embed="rId4"/>
                    <a:stretch>
                      <a:fillRect/>
                    </a:stretch>
                  </pic:blipFill>
                  <pic:spPr>
                    <a:xfrm>
                      <a:off x="0" y="0"/>
                      <a:ext cx="6635750" cy="4695190"/>
                    </a:xfrm>
                    <a:prstGeom prst="rect">
                      <a:avLst/>
                    </a:prstGeom>
                  </pic:spPr>
                </pic:pic>
              </a:graphicData>
            </a:graphic>
          </wp:inline>
        </w:drawing>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YaHei">
    <w:altName w:val="宋体"/>
    <w:panose1 w:val="00000000000000000000"/>
    <w:charset w:val="86"/>
    <w:family w:val="auto"/>
    <w:pitch w:val="default"/>
    <w:sig w:usb0="00000000" w:usb1="00000000" w:usb2="00000000" w:usb3="00000000" w:csb0="00040000" w:csb1="00000000"/>
  </w:font>
  <w:font w:name="Cambria">
    <w:panose1 w:val="02040503050406030204"/>
    <w:charset w:val="86"/>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pStyle w:val="2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121519E2"/>
    <w:multiLevelType w:val="singleLevel"/>
    <w:tmpl w:val="121519E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OWFhY2NiZDk0ZWZhZWZkNzJlOGIwMjY4MTcyMjMifQ=="/>
  </w:docVars>
  <w:rsids>
    <w:rsidRoot w:val="009C2A55"/>
    <w:rsid w:val="000006D4"/>
    <w:rsid w:val="00004EBC"/>
    <w:rsid w:val="000052D5"/>
    <w:rsid w:val="00023701"/>
    <w:rsid w:val="00041CCE"/>
    <w:rsid w:val="0005467B"/>
    <w:rsid w:val="00060D4F"/>
    <w:rsid w:val="00077062"/>
    <w:rsid w:val="00077726"/>
    <w:rsid w:val="00093DD0"/>
    <w:rsid w:val="000969B3"/>
    <w:rsid w:val="000B3D7B"/>
    <w:rsid w:val="000B48FD"/>
    <w:rsid w:val="000B6C40"/>
    <w:rsid w:val="000D4EF6"/>
    <w:rsid w:val="000F02CA"/>
    <w:rsid w:val="00105092"/>
    <w:rsid w:val="0013207B"/>
    <w:rsid w:val="001419A4"/>
    <w:rsid w:val="00161B0D"/>
    <w:rsid w:val="00161FC2"/>
    <w:rsid w:val="00170EC6"/>
    <w:rsid w:val="00190AD9"/>
    <w:rsid w:val="001B0248"/>
    <w:rsid w:val="001B2602"/>
    <w:rsid w:val="001F00F4"/>
    <w:rsid w:val="0020783F"/>
    <w:rsid w:val="00212546"/>
    <w:rsid w:val="00244970"/>
    <w:rsid w:val="0024707F"/>
    <w:rsid w:val="00262566"/>
    <w:rsid w:val="00290531"/>
    <w:rsid w:val="002B00A2"/>
    <w:rsid w:val="002F75B2"/>
    <w:rsid w:val="00310F42"/>
    <w:rsid w:val="00312A11"/>
    <w:rsid w:val="003135AD"/>
    <w:rsid w:val="00314F42"/>
    <w:rsid w:val="00336077"/>
    <w:rsid w:val="00347784"/>
    <w:rsid w:val="00353FAA"/>
    <w:rsid w:val="0036787B"/>
    <w:rsid w:val="003748F3"/>
    <w:rsid w:val="0039266A"/>
    <w:rsid w:val="003D5B2E"/>
    <w:rsid w:val="003E761A"/>
    <w:rsid w:val="003F074B"/>
    <w:rsid w:val="00451BE2"/>
    <w:rsid w:val="00455CD3"/>
    <w:rsid w:val="00461CF3"/>
    <w:rsid w:val="004B49AE"/>
    <w:rsid w:val="004E5550"/>
    <w:rsid w:val="0050081E"/>
    <w:rsid w:val="00503947"/>
    <w:rsid w:val="00504642"/>
    <w:rsid w:val="00524741"/>
    <w:rsid w:val="00535701"/>
    <w:rsid w:val="005501A8"/>
    <w:rsid w:val="00554CF8"/>
    <w:rsid w:val="00555662"/>
    <w:rsid w:val="00555A23"/>
    <w:rsid w:val="0056332F"/>
    <w:rsid w:val="005650B4"/>
    <w:rsid w:val="00565D27"/>
    <w:rsid w:val="00590607"/>
    <w:rsid w:val="005C1199"/>
    <w:rsid w:val="005C2A0C"/>
    <w:rsid w:val="005E3CB7"/>
    <w:rsid w:val="006020C2"/>
    <w:rsid w:val="00605235"/>
    <w:rsid w:val="00605652"/>
    <w:rsid w:val="00607F8A"/>
    <w:rsid w:val="00621E0F"/>
    <w:rsid w:val="006225CE"/>
    <w:rsid w:val="00622DA3"/>
    <w:rsid w:val="00636B05"/>
    <w:rsid w:val="00657DED"/>
    <w:rsid w:val="00661C1C"/>
    <w:rsid w:val="00674F89"/>
    <w:rsid w:val="006A023C"/>
    <w:rsid w:val="006C380A"/>
    <w:rsid w:val="006D3327"/>
    <w:rsid w:val="006D5485"/>
    <w:rsid w:val="006E66D7"/>
    <w:rsid w:val="006F29DB"/>
    <w:rsid w:val="006F5DDB"/>
    <w:rsid w:val="00705170"/>
    <w:rsid w:val="007211B9"/>
    <w:rsid w:val="0075218A"/>
    <w:rsid w:val="007843BB"/>
    <w:rsid w:val="007876D1"/>
    <w:rsid w:val="0079179B"/>
    <w:rsid w:val="007C16D3"/>
    <w:rsid w:val="007D396F"/>
    <w:rsid w:val="007F4EAD"/>
    <w:rsid w:val="00820F82"/>
    <w:rsid w:val="00823E09"/>
    <w:rsid w:val="00834F22"/>
    <w:rsid w:val="00837764"/>
    <w:rsid w:val="0084271A"/>
    <w:rsid w:val="008637CE"/>
    <w:rsid w:val="008641E4"/>
    <w:rsid w:val="0086783F"/>
    <w:rsid w:val="00876841"/>
    <w:rsid w:val="0088296D"/>
    <w:rsid w:val="00883A68"/>
    <w:rsid w:val="00884B9D"/>
    <w:rsid w:val="0088551F"/>
    <w:rsid w:val="008A2E35"/>
    <w:rsid w:val="008F672B"/>
    <w:rsid w:val="00911A4A"/>
    <w:rsid w:val="0092657A"/>
    <w:rsid w:val="009354ED"/>
    <w:rsid w:val="009358C5"/>
    <w:rsid w:val="00975942"/>
    <w:rsid w:val="009A34F4"/>
    <w:rsid w:val="009C11C9"/>
    <w:rsid w:val="009C22F7"/>
    <w:rsid w:val="009C2A55"/>
    <w:rsid w:val="009C2B39"/>
    <w:rsid w:val="009F0041"/>
    <w:rsid w:val="009F7289"/>
    <w:rsid w:val="00A04188"/>
    <w:rsid w:val="00A216AC"/>
    <w:rsid w:val="00A4027A"/>
    <w:rsid w:val="00A40770"/>
    <w:rsid w:val="00A51F81"/>
    <w:rsid w:val="00A64C86"/>
    <w:rsid w:val="00A70A31"/>
    <w:rsid w:val="00A90E3F"/>
    <w:rsid w:val="00A96229"/>
    <w:rsid w:val="00AB4FA1"/>
    <w:rsid w:val="00AF5FDF"/>
    <w:rsid w:val="00AF6DF1"/>
    <w:rsid w:val="00B01908"/>
    <w:rsid w:val="00B21577"/>
    <w:rsid w:val="00B62981"/>
    <w:rsid w:val="00B639B5"/>
    <w:rsid w:val="00B75F03"/>
    <w:rsid w:val="00B7756F"/>
    <w:rsid w:val="00B90F07"/>
    <w:rsid w:val="00BB1789"/>
    <w:rsid w:val="00BB5C3C"/>
    <w:rsid w:val="00C04339"/>
    <w:rsid w:val="00C04F61"/>
    <w:rsid w:val="00C12683"/>
    <w:rsid w:val="00C2749E"/>
    <w:rsid w:val="00C333A6"/>
    <w:rsid w:val="00C352A2"/>
    <w:rsid w:val="00C41A56"/>
    <w:rsid w:val="00C54201"/>
    <w:rsid w:val="00C60CE6"/>
    <w:rsid w:val="00C64F5D"/>
    <w:rsid w:val="00C94A53"/>
    <w:rsid w:val="00CB66FC"/>
    <w:rsid w:val="00CB676F"/>
    <w:rsid w:val="00CE110A"/>
    <w:rsid w:val="00CF0FB7"/>
    <w:rsid w:val="00CF5995"/>
    <w:rsid w:val="00CF7F43"/>
    <w:rsid w:val="00D00AC4"/>
    <w:rsid w:val="00D15989"/>
    <w:rsid w:val="00D30562"/>
    <w:rsid w:val="00D60F24"/>
    <w:rsid w:val="00D631E7"/>
    <w:rsid w:val="00DA1D01"/>
    <w:rsid w:val="00DB4013"/>
    <w:rsid w:val="00DB5ADD"/>
    <w:rsid w:val="00DE06B5"/>
    <w:rsid w:val="00DF0D55"/>
    <w:rsid w:val="00DF5F9F"/>
    <w:rsid w:val="00E13F45"/>
    <w:rsid w:val="00E306AC"/>
    <w:rsid w:val="00E44717"/>
    <w:rsid w:val="00E46C1C"/>
    <w:rsid w:val="00E63632"/>
    <w:rsid w:val="00E71536"/>
    <w:rsid w:val="00E72414"/>
    <w:rsid w:val="00EA2F93"/>
    <w:rsid w:val="00EC4AA5"/>
    <w:rsid w:val="00ED5C8B"/>
    <w:rsid w:val="00EE551E"/>
    <w:rsid w:val="00EF1280"/>
    <w:rsid w:val="00F330B0"/>
    <w:rsid w:val="00F36889"/>
    <w:rsid w:val="00F45506"/>
    <w:rsid w:val="00F51544"/>
    <w:rsid w:val="00F60B08"/>
    <w:rsid w:val="00F62896"/>
    <w:rsid w:val="00F71389"/>
    <w:rsid w:val="00F86494"/>
    <w:rsid w:val="00FB59FA"/>
    <w:rsid w:val="00FC7D03"/>
    <w:rsid w:val="00FE5782"/>
    <w:rsid w:val="1CFA0A64"/>
    <w:rsid w:val="1F106CB2"/>
    <w:rsid w:val="29FF5613"/>
    <w:rsid w:val="36BA63DD"/>
    <w:rsid w:val="36C66087"/>
    <w:rsid w:val="44A65161"/>
    <w:rsid w:val="470923BB"/>
    <w:rsid w:val="4D0E7126"/>
    <w:rsid w:val="57E7336B"/>
    <w:rsid w:val="66CA6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6">
    <w:name w:val="heading 3"/>
    <w:basedOn w:val="1"/>
    <w:next w:val="1"/>
    <w:link w:val="16"/>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next w:val="4"/>
    <w:qFormat/>
    <w:uiPriority w:val="0"/>
    <w:pPr>
      <w:ind w:firstLine="546"/>
    </w:pPr>
  </w:style>
  <w:style w:type="paragraph" w:styleId="4">
    <w:name w:val="Plain Text"/>
    <w:basedOn w:val="1"/>
    <w:qFormat/>
    <w:uiPriority w:val="0"/>
    <w:rPr>
      <w:rFonts w:ascii="宋体" w:hAnsi="Courier New" w:cs="Courier New"/>
      <w:sz w:val="21"/>
      <w:szCs w:val="21"/>
    </w:rPr>
  </w:style>
  <w:style w:type="paragraph" w:styleId="7">
    <w:name w:val="Balloon Text"/>
    <w:basedOn w:val="1"/>
    <w:link w:val="17"/>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character" w:customStyle="1" w:styleId="14">
    <w:name w:val="标题 1 Char"/>
    <w:basedOn w:val="11"/>
    <w:link w:val="5"/>
    <w:qFormat/>
    <w:uiPriority w:val="9"/>
    <w:rPr>
      <w:b/>
      <w:bCs/>
      <w:kern w:val="44"/>
      <w:sz w:val="44"/>
      <w:szCs w:val="44"/>
    </w:rPr>
  </w:style>
  <w:style w:type="paragraph" w:styleId="15">
    <w:name w:val="List Paragraph"/>
    <w:basedOn w:val="1"/>
    <w:qFormat/>
    <w:uiPriority w:val="34"/>
    <w:pPr>
      <w:ind w:firstLine="420" w:firstLineChars="200"/>
    </w:pPr>
  </w:style>
  <w:style w:type="character" w:customStyle="1" w:styleId="16">
    <w:name w:val="标题 3 Char"/>
    <w:basedOn w:val="11"/>
    <w:link w:val="6"/>
    <w:qFormat/>
    <w:uiPriority w:val="9"/>
    <w:rPr>
      <w:b/>
      <w:bCs/>
      <w:sz w:val="32"/>
      <w:szCs w:val="32"/>
    </w:rPr>
  </w:style>
  <w:style w:type="character" w:customStyle="1" w:styleId="17">
    <w:name w:val="批注框文本 Char"/>
    <w:basedOn w:val="11"/>
    <w:link w:val="7"/>
    <w:semiHidden/>
    <w:qFormat/>
    <w:uiPriority w:val="99"/>
    <w:rPr>
      <w:sz w:val="18"/>
      <w:szCs w:val="18"/>
    </w:rPr>
  </w:style>
  <w:style w:type="character" w:customStyle="1" w:styleId="18">
    <w:name w:val="Body text|1_"/>
    <w:link w:val="19"/>
    <w:qFormat/>
    <w:uiPriority w:val="0"/>
    <w:rPr>
      <w:rFonts w:ascii="宋体" w:hAnsi="宋体" w:cs="宋体"/>
      <w:sz w:val="28"/>
      <w:szCs w:val="28"/>
      <w:lang w:val="zh-TW" w:eastAsia="zh-TW" w:bidi="zh-TW"/>
    </w:rPr>
  </w:style>
  <w:style w:type="paragraph" w:customStyle="1" w:styleId="19">
    <w:name w:val="Body text|1"/>
    <w:basedOn w:val="1"/>
    <w:link w:val="18"/>
    <w:qFormat/>
    <w:uiPriority w:val="0"/>
    <w:pPr>
      <w:spacing w:after="280"/>
      <w:jc w:val="left"/>
    </w:pPr>
    <w:rPr>
      <w:rFonts w:ascii="宋体" w:hAnsi="宋体" w:cs="宋体"/>
      <w:kern w:val="0"/>
      <w:sz w:val="28"/>
      <w:szCs w:val="28"/>
      <w:lang w:val="zh-TW" w:eastAsia="zh-TW" w:bidi="zh-TW"/>
    </w:rPr>
  </w:style>
  <w:style w:type="paragraph" w:customStyle="1" w:styleId="20">
    <w:name w:val="正文1"/>
    <w:basedOn w:val="1"/>
    <w:next w:val="21"/>
    <w:uiPriority w:val="0"/>
    <w:pPr>
      <w:adjustRightInd w:val="0"/>
      <w:ind w:firstLine="482"/>
      <w:textAlignment w:val="baseline"/>
    </w:pPr>
    <w:rPr>
      <w:rFonts w:ascii="宋体" w:hAnsi="宋体"/>
      <w:color w:val="000000"/>
      <w:kern w:val="28"/>
      <w:sz w:val="24"/>
    </w:rPr>
  </w:style>
  <w:style w:type="paragraph" w:customStyle="1" w:styleId="21">
    <w:name w:val="正文首行缩进 21"/>
    <w:basedOn w:val="22"/>
    <w:qFormat/>
    <w:uiPriority w:val="0"/>
  </w:style>
  <w:style w:type="paragraph" w:customStyle="1" w:styleId="22">
    <w:name w:val="正文缩进1"/>
    <w:basedOn w:val="20"/>
    <w:qFormat/>
    <w:uiPriority w:val="0"/>
    <w:pPr>
      <w:spacing w:line="240" w:lineRule="auto"/>
    </w:pPr>
    <w:rPr>
      <w:rFonts w:eastAsia="宋体"/>
      <w:szCs w:val="24"/>
    </w:rPr>
  </w:style>
  <w:style w:type="paragraph" w:customStyle="1" w:styleId="23">
    <w:name w:val="标题 21"/>
    <w:basedOn w:val="20"/>
    <w:next w:val="20"/>
    <w:qFormat/>
    <w:uiPriority w:val="0"/>
    <w:pPr>
      <w:keepNext/>
      <w:keepLines/>
      <w:numPr>
        <w:ilvl w:val="1"/>
        <w:numId w:val="1"/>
      </w:numPr>
      <w:spacing w:line="416" w:lineRule="atLeast"/>
      <w:outlineLvl w:val="1"/>
    </w:pPr>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2659</Words>
  <Characters>2760</Characters>
  <Lines>15</Lines>
  <Paragraphs>4</Paragraphs>
  <TotalTime>4</TotalTime>
  <ScaleCrop>false</ScaleCrop>
  <LinksUpToDate>false</LinksUpToDate>
  <CharactersWithSpaces>2776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2021-03-24T10:43:00Z</dcterms:created>
  <dc:creator>微软用户</dc:creator>
  <cp:lastModifiedBy>林晨</cp:lastModifiedBy>
  <cp:lastPrinted>2021-04-15T09:16:00Z</cp:lastPrinted>
  <dcterms:modified xsi:type="dcterms:W3CDTF">2023-02-20T07:21:06Z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1B3963F8F4B04221A14CCB01380816B3</vt:lpwstr>
  </property>
</Properties>
</file>