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widowControl/>
        <w:tabs>
          <w:tab w:val="left" w:pos="2730"/>
        </w:tabs>
        <w:jc w:val="center"/>
        <w:outlineLvl w:val="1"/>
        <w:rPr>
          <w:rFonts w:hint="eastAsia" w:ascii="Times New Roman" w:hAnsi="Times New Roman" w:eastAsia="黑体" w:cs="Times New Roman"/>
          <w:kern w:val="0"/>
          <w:sz w:val="31"/>
          <w:szCs w:val="31"/>
          <w:lang w:eastAsia="zh-CN" w:bidi="ar"/>
        </w:rPr>
      </w:pPr>
      <w:r>
        <w:rPr>
          <w:rFonts w:hint="eastAsia" w:ascii="Times New Roman" w:hAnsi="Times New Roman" w:eastAsia="黑体" w:cs="Times New Roman"/>
          <w:kern w:val="0"/>
          <w:sz w:val="31"/>
          <w:szCs w:val="31"/>
          <w:lang w:eastAsia="zh-CN" w:bidi="ar"/>
        </w:rPr>
        <w:t>仙游县202</w:t>
      </w:r>
      <w:r>
        <w:rPr>
          <w:rFonts w:hint="eastAsia" w:ascii="Times New Roman" w:hAnsi="Times New Roman" w:eastAsia="黑体" w:cs="Times New Roman"/>
          <w:kern w:val="0"/>
          <w:sz w:val="31"/>
          <w:szCs w:val="31"/>
          <w:lang w:val="en-US" w:eastAsia="zh-CN" w:bidi="ar"/>
        </w:rPr>
        <w:t>3</w:t>
      </w:r>
      <w:r>
        <w:rPr>
          <w:rFonts w:hint="eastAsia" w:ascii="Times New Roman" w:hAnsi="Times New Roman" w:eastAsia="黑体" w:cs="Times New Roman"/>
          <w:kern w:val="0"/>
          <w:sz w:val="31"/>
          <w:szCs w:val="31"/>
          <w:lang w:eastAsia="zh-CN" w:bidi="ar"/>
        </w:rPr>
        <w:t>年度第六批次土地征收成片开发方案</w:t>
      </w:r>
    </w:p>
    <w:p>
      <w:pPr>
        <w:widowControl/>
        <w:tabs>
          <w:tab w:val="left" w:pos="2730"/>
        </w:tabs>
        <w:jc w:val="center"/>
        <w:outlineLvl w:val="1"/>
        <w:rPr>
          <w:rFonts w:hint="eastAsia" w:ascii="Times New Roman" w:hAnsi="Times New Roman" w:eastAsia="黑体" w:cs="Times New Roman"/>
          <w:kern w:val="0"/>
          <w:sz w:val="31"/>
          <w:szCs w:val="31"/>
          <w:lang w:eastAsia="zh-CN" w:bidi="ar"/>
        </w:rPr>
      </w:pPr>
      <w:r>
        <w:rPr>
          <w:rFonts w:hint="eastAsia" w:ascii="Times New Roman" w:hAnsi="Times New Roman" w:eastAsia="黑体" w:cs="Times New Roman"/>
          <w:kern w:val="0"/>
          <w:sz w:val="31"/>
          <w:szCs w:val="31"/>
          <w:lang w:eastAsia="zh-CN" w:bidi="ar"/>
        </w:rPr>
        <w:t>（鲤城街道鱼鼓山东片区）</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三五年远景目标纲要》编制仙游县202</w:t>
      </w:r>
      <w:r>
        <w:rPr>
          <w:rFonts w:hint="eastAsia" w:ascii="Times New Roman" w:hAnsi="Times New Roman" w:eastAsia="仿宋_GB2312" w:cs="Times New Roman"/>
          <w:kern w:val="0"/>
          <w:sz w:val="31"/>
          <w:szCs w:val="31"/>
          <w:lang w:val="en-US" w:eastAsia="zh-CN" w:bidi="ar"/>
        </w:rPr>
        <w:t>3</w:t>
      </w:r>
      <w:r>
        <w:rPr>
          <w:rFonts w:ascii="Times New Roman" w:hAnsi="Times New Roman" w:eastAsia="仿宋_GB2312" w:cs="Times New Roman"/>
          <w:kern w:val="0"/>
          <w:sz w:val="31"/>
          <w:szCs w:val="31"/>
          <w:lang w:bidi="ar"/>
        </w:rPr>
        <w:t>年度第</w:t>
      </w:r>
      <w:r>
        <w:rPr>
          <w:rFonts w:hint="eastAsia" w:ascii="Times New Roman" w:hAnsi="Times New Roman" w:eastAsia="仿宋_GB2312" w:cs="Times New Roman"/>
          <w:kern w:val="0"/>
          <w:sz w:val="31"/>
          <w:szCs w:val="31"/>
          <w:lang w:eastAsia="zh-CN" w:bidi="ar"/>
        </w:rPr>
        <w:t>六</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eastAsia="zh-CN" w:bidi="ar"/>
        </w:rPr>
        <w:t>鲤城街道鱼鼓山东片区</w:t>
      </w:r>
      <w:r>
        <w:rPr>
          <w:rFonts w:ascii="Times New Roman" w:hAnsi="Times New Roman" w:eastAsia="仿宋_GB2312" w:cs="Times New Roman"/>
          <w:kern w:val="0"/>
          <w:sz w:val="31"/>
          <w:szCs w:val="31"/>
          <w:lang w:bidi="ar"/>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鲤城街道万福社区</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街道</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社区</w:t>
      </w:r>
      <w:r>
        <w:rPr>
          <w:rFonts w:ascii="Times New Roman" w:hAnsi="Times New Roman" w:eastAsia="仿宋_GB2312" w:cs="Times New Roman"/>
          <w:kern w:val="0"/>
          <w:sz w:val="31"/>
          <w:szCs w:val="31"/>
          <w:lang w:bidi="ar"/>
        </w:rPr>
        <w:t>；涉及1个国有单位，不涉及省级和国家级开发区。</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本方案成片开发范围总面积</w:t>
      </w:r>
      <w:r>
        <w:rPr>
          <w:rFonts w:hint="eastAsia" w:ascii="仿宋" w:hAnsi="仿宋" w:eastAsia="仿宋" w:cs="仿宋"/>
          <w:sz w:val="30"/>
          <w:szCs w:val="30"/>
          <w:lang w:val="en-US" w:eastAsia="zh-CN"/>
        </w:rPr>
        <w:t>4.0002</w:t>
      </w:r>
      <w:r>
        <w:rPr>
          <w:rFonts w:hint="eastAsia" w:ascii="仿宋" w:hAnsi="仿宋" w:eastAsia="仿宋" w:cs="仿宋"/>
          <w:sz w:val="30"/>
          <w:szCs w:val="30"/>
        </w:rPr>
        <w:t>公顷。其中，农用地</w:t>
      </w:r>
      <w:r>
        <w:rPr>
          <w:rFonts w:hint="eastAsia" w:ascii="仿宋" w:hAnsi="仿宋" w:eastAsia="仿宋" w:cs="仿宋"/>
          <w:sz w:val="30"/>
          <w:szCs w:val="30"/>
          <w:lang w:val="en-US" w:eastAsia="zh-CN"/>
        </w:rPr>
        <w:t>1.0832</w:t>
      </w:r>
      <w:r>
        <w:rPr>
          <w:rFonts w:hint="eastAsia" w:ascii="仿宋" w:hAnsi="仿宋" w:eastAsia="仿宋" w:cs="仿宋"/>
          <w:sz w:val="30"/>
          <w:szCs w:val="30"/>
        </w:rPr>
        <w:t>公顷（其中耕地0</w:t>
      </w:r>
      <w:r>
        <w:rPr>
          <w:rFonts w:hint="eastAsia" w:ascii="仿宋" w:hAnsi="仿宋" w:eastAsia="仿宋" w:cs="仿宋"/>
          <w:sz w:val="30"/>
          <w:szCs w:val="30"/>
          <w:lang w:val="en-US" w:eastAsia="zh-CN"/>
        </w:rPr>
        <w:t>.4518</w:t>
      </w:r>
      <w:r>
        <w:rPr>
          <w:rFonts w:hint="eastAsia" w:ascii="仿宋" w:hAnsi="仿宋" w:eastAsia="仿宋" w:cs="仿宋"/>
          <w:sz w:val="30"/>
          <w:szCs w:val="30"/>
        </w:rPr>
        <w:t>公顷），建设用地</w:t>
      </w:r>
      <w:r>
        <w:rPr>
          <w:rFonts w:hint="eastAsia" w:ascii="仿宋" w:hAnsi="仿宋" w:eastAsia="仿宋" w:cs="仿宋"/>
          <w:sz w:val="30"/>
          <w:szCs w:val="30"/>
          <w:lang w:val="en-US" w:eastAsia="zh-CN"/>
        </w:rPr>
        <w:t>2.917</w:t>
      </w:r>
      <w:r>
        <w:rPr>
          <w:rFonts w:hint="eastAsia" w:ascii="仿宋" w:hAnsi="仿宋" w:eastAsia="仿宋" w:cs="仿宋"/>
          <w:sz w:val="30"/>
          <w:szCs w:val="30"/>
        </w:rPr>
        <w:t>公顷，</w:t>
      </w:r>
      <w:r>
        <w:rPr>
          <w:rFonts w:hint="eastAsia" w:ascii="仿宋" w:hAnsi="仿宋" w:eastAsia="仿宋" w:cs="仿宋"/>
          <w:sz w:val="30"/>
          <w:szCs w:val="30"/>
          <w:highlight w:val="none"/>
          <w:lang w:eastAsia="zh-CN"/>
        </w:rPr>
        <w:t>不涉及</w:t>
      </w:r>
      <w:r>
        <w:rPr>
          <w:rFonts w:hint="eastAsia" w:ascii="仿宋" w:hAnsi="仿宋" w:eastAsia="仿宋" w:cs="仿宋"/>
          <w:sz w:val="30"/>
          <w:szCs w:val="30"/>
          <w:highlight w:val="none"/>
        </w:rPr>
        <w:t>未利用地</w:t>
      </w:r>
      <w:r>
        <w:rPr>
          <w:rFonts w:hint="eastAsia" w:ascii="仿宋" w:hAnsi="仿宋" w:eastAsia="仿宋" w:cs="仿宋"/>
          <w:sz w:val="30"/>
          <w:szCs w:val="30"/>
        </w:rPr>
        <w:t>。</w:t>
      </w:r>
    </w:p>
    <w:p>
      <w:pPr>
        <w:widowControl/>
        <w:numPr>
          <w:ilvl w:val="0"/>
          <w:numId w:val="2"/>
        </w:numPr>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pStyle w:val="2"/>
        <w:numPr>
          <w:ilvl w:val="0"/>
          <w:numId w:val="0"/>
        </w:numPr>
        <w:ind w:firstLine="602" w:firstLineChars="200"/>
        <w:rPr>
          <w:rFonts w:hint="eastAsia" w:ascii="仿宋" w:hAnsi="仿宋" w:eastAsia="仿宋" w:cs="仿宋"/>
          <w:b/>
          <w:bCs/>
          <w:kern w:val="0"/>
          <w:sz w:val="30"/>
          <w:szCs w:val="30"/>
          <w:highlight w:val="none"/>
          <w:lang w:val="en-US" w:eastAsia="zh-CN" w:bidi="ar-SA"/>
        </w:rPr>
      </w:pPr>
      <w:bookmarkStart w:id="0" w:name="_Toc137"/>
      <w:bookmarkStart w:id="1" w:name="_Toc11317"/>
      <w:bookmarkStart w:id="2" w:name="_Toc3140"/>
      <w:bookmarkStart w:id="3" w:name="_Toc8066"/>
      <w:bookmarkStart w:id="4" w:name="_Toc26871"/>
      <w:r>
        <w:rPr>
          <w:rFonts w:hint="eastAsia" w:ascii="仿宋" w:hAnsi="仿宋" w:eastAsia="仿宋" w:cs="仿宋"/>
          <w:b/>
          <w:bCs/>
          <w:kern w:val="0"/>
          <w:sz w:val="30"/>
          <w:szCs w:val="30"/>
          <w:highlight w:val="none"/>
          <w:lang w:val="en-US" w:eastAsia="zh-CN" w:bidi="ar-SA"/>
        </w:rPr>
        <w:t>（一）必要性分析</w:t>
      </w:r>
      <w:bookmarkEnd w:id="0"/>
      <w:bookmarkEnd w:id="1"/>
      <w:bookmarkEnd w:id="2"/>
      <w:bookmarkEnd w:id="3"/>
      <w:bookmarkEnd w:id="4"/>
    </w:p>
    <w:p>
      <w:pPr>
        <w:pStyle w:val="20"/>
        <w:keepNext/>
        <w:keepLines/>
        <w:spacing w:before="156" w:beforeLines="50" w:after="156" w:afterLines="50"/>
        <w:ind w:firstLine="600" w:firstLineChars="200"/>
        <w:rPr>
          <w:rFonts w:ascii="仿宋" w:hAnsi="仿宋" w:eastAsia="仿宋" w:cs="仿宋"/>
          <w:color w:val="000000"/>
          <w:kern w:val="0"/>
          <w:sz w:val="30"/>
          <w:szCs w:val="30"/>
        </w:rPr>
      </w:pPr>
      <w:bookmarkStart w:id="5" w:name="_Toc33"/>
      <w:bookmarkStart w:id="6" w:name="_Toc10547"/>
      <w:bookmarkStart w:id="7" w:name="_Toc71533297"/>
      <w:bookmarkStart w:id="8" w:name="_Toc25851"/>
      <w:bookmarkStart w:id="9" w:name="_Toc5675"/>
      <w:bookmarkStart w:id="10" w:name="_Toc26974"/>
      <w:bookmarkStart w:id="11" w:name="_Toc1447"/>
      <w:bookmarkStart w:id="12" w:name="_Toc1212"/>
      <w:r>
        <w:rPr>
          <w:rFonts w:hint="eastAsia" w:ascii="仿宋" w:hAnsi="仿宋" w:eastAsia="仿宋" w:cs="仿宋"/>
          <w:color w:val="000000"/>
          <w:kern w:val="0"/>
          <w:sz w:val="30"/>
          <w:szCs w:val="30"/>
        </w:rPr>
        <w:t>1.完善片区功能，</w:t>
      </w:r>
      <w:r>
        <w:rPr>
          <w:rFonts w:hint="eastAsia" w:eastAsia="仿宋"/>
          <w:kern w:val="0"/>
          <w:sz w:val="30"/>
          <w:szCs w:val="30"/>
        </w:rPr>
        <w:t>打造全龄友好完整社区</w:t>
      </w:r>
    </w:p>
    <w:p>
      <w:pPr>
        <w:autoSpaceDE w:val="0"/>
        <w:autoSpaceDN w:val="0"/>
        <w:adjustRightInd w:val="0"/>
        <w:ind w:firstLine="600" w:firstLineChars="200"/>
        <w:jc w:val="left"/>
        <w:rPr>
          <w:rFonts w:ascii="仿宋" w:hAnsi="仿宋" w:eastAsia="仿宋" w:cs="仿宋"/>
          <w:color w:val="000000"/>
          <w:sz w:val="30"/>
          <w:szCs w:val="30"/>
          <w:lang w:bidi="ar-SA"/>
        </w:rPr>
      </w:pPr>
      <w:r>
        <w:rPr>
          <w:rFonts w:hint="eastAsia" w:ascii="仿宋" w:hAnsi="仿宋" w:eastAsia="仿宋" w:cs="仿宋"/>
          <w:color w:val="000000"/>
          <w:sz w:val="30"/>
          <w:szCs w:val="30"/>
          <w:lang w:bidi="ar-SA"/>
        </w:rPr>
        <w:t>《仙游县国民经济和社会发展第十四个五年规划和二〇三五年远景目标纲要》提出坚持“人民城市人民建、人民城市为人民”的理念，聚焦老城更新、特色街区培育、园林绿化优化和历史文化名城建设，坚持城乡统筹、新城建设与旧城更新并重。深入实施“东拓南进西扩中修北兴”发展战略，坚持“以人为本”的核心理念，全面推动老旧城区有机更新，塑造新空间，承载新内容，坚持注入城市新发展活力。以城市有机更新推动高质量发展，拓宽城市发展空间，完善城市功能布局，促进生活空间宜居适度，增强城市综合承载力。该片区位于鲤北中心区重要主城部分，周边街各项道级、社区级基础设施已陆续建成投用。周边区域土地已基本开发完成，本次成片开发以城市居住、生态生态为主导，聚焦城市路网水网联通工程，落实城市精细化管理，推动城市环境综合整治，</w:t>
      </w:r>
      <w:r>
        <w:rPr>
          <w:rFonts w:hint="eastAsia" w:ascii="仿宋" w:hAnsi="仿宋" w:eastAsia="仿宋" w:cs="仿宋"/>
          <w:color w:val="000000"/>
          <w:sz w:val="30"/>
          <w:szCs w:val="30"/>
        </w:rPr>
        <w:t>完善片区功能，</w:t>
      </w:r>
      <w:r>
        <w:rPr>
          <w:rFonts w:hint="eastAsia" w:eastAsia="仿宋"/>
          <w:sz w:val="30"/>
          <w:szCs w:val="30"/>
        </w:rPr>
        <w:t>打造全龄友好完整社区，</w:t>
      </w:r>
      <w:r>
        <w:rPr>
          <w:rFonts w:hint="eastAsia" w:ascii="仿宋" w:hAnsi="仿宋" w:eastAsia="仿宋" w:cs="仿宋"/>
          <w:color w:val="000000"/>
          <w:sz w:val="30"/>
          <w:szCs w:val="30"/>
          <w:lang w:bidi="ar-SA"/>
        </w:rPr>
        <w:t>为广大市民营造良好的生活环境，提升城市形象。</w:t>
      </w:r>
    </w:p>
    <w:p>
      <w:pPr>
        <w:autoSpaceDE w:val="0"/>
        <w:autoSpaceDN w:val="0"/>
        <w:adjustRightInd w:val="0"/>
        <w:ind w:firstLine="600" w:firstLineChars="200"/>
        <w:jc w:val="left"/>
        <w:rPr>
          <w:rFonts w:ascii="仿宋" w:hAnsi="仿宋" w:eastAsia="仿宋" w:cs="仿宋"/>
          <w:color w:val="000000"/>
          <w:sz w:val="30"/>
          <w:szCs w:val="30"/>
          <w:lang w:bidi="ar-SA"/>
        </w:rPr>
      </w:pPr>
      <w:r>
        <w:rPr>
          <w:rFonts w:hint="eastAsia" w:ascii="仿宋" w:hAnsi="仿宋" w:eastAsia="仿宋" w:cs="仿宋"/>
          <w:color w:val="000000"/>
          <w:sz w:val="30"/>
          <w:szCs w:val="30"/>
          <w:lang w:bidi="ar-SA"/>
        </w:rPr>
        <w:t>2.优化配置土地资源、增量带动存量挖潜，促进土地合理利用</w:t>
      </w:r>
    </w:p>
    <w:p>
      <w:pPr>
        <w:autoSpaceDE w:val="0"/>
        <w:autoSpaceDN w:val="0"/>
        <w:adjustRightInd w:val="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随着城市化的加剧，县城建设用地增量空间越发紧张，鲤城街道几乎无发展空间，现阶段仙游县土地利用将由增量扩张逐步进入存量挖潜和增量扩张并存，而以鲤城街道为主的仙游县新老城区结合部已增量带动存量挖潜为主要导向。本次成片开发位于仙游县中心城区北部片区东部中心地段，通过片区土地征收，结合周边土地资源作为再开发土地资源进行盘活，有利于释放周边低效用地和存量土地，与现状边角地及不规则土地合并开发，优化配置土地资源，促进土地合理利用。</w:t>
      </w:r>
    </w:p>
    <w:p>
      <w:pPr>
        <w:autoSpaceDE w:val="0"/>
        <w:autoSpaceDN w:val="0"/>
        <w:adjustRightInd w:val="0"/>
        <w:ind w:firstLine="600" w:firstLineChars="200"/>
        <w:jc w:val="left"/>
        <w:rPr>
          <w:rFonts w:ascii="仿宋" w:hAnsi="仿宋" w:eastAsia="仿宋" w:cs="仿宋"/>
          <w:color w:val="000000"/>
          <w:sz w:val="30"/>
          <w:szCs w:val="30"/>
          <w:lang w:bidi="ar-SA"/>
        </w:rPr>
      </w:pPr>
      <w:r>
        <w:rPr>
          <w:rFonts w:hint="eastAsia" w:ascii="仿宋" w:hAnsi="仿宋" w:eastAsia="仿宋" w:cs="仿宋"/>
          <w:color w:val="000000"/>
          <w:sz w:val="30"/>
          <w:szCs w:val="30"/>
          <w:lang w:bidi="ar-SA"/>
        </w:rPr>
        <w:t>3.</w:t>
      </w:r>
      <w:r>
        <w:rPr>
          <w:rFonts w:hint="eastAsia"/>
        </w:rPr>
        <w:t xml:space="preserve"> </w:t>
      </w:r>
      <w:r>
        <w:rPr>
          <w:rFonts w:hint="eastAsia" w:ascii="仿宋" w:hAnsi="仿宋" w:eastAsia="仿宋" w:cs="仿宋"/>
          <w:color w:val="000000"/>
          <w:sz w:val="30"/>
          <w:szCs w:val="30"/>
          <w:lang w:bidi="ar-SA"/>
        </w:rPr>
        <w:t>打通断头路，畅通路网脉络</w:t>
      </w:r>
    </w:p>
    <w:p>
      <w:pPr>
        <w:autoSpaceDE w:val="0"/>
        <w:autoSpaceDN w:val="0"/>
        <w:adjustRightInd w:val="0"/>
        <w:ind w:firstLine="600" w:firstLineChars="200"/>
        <w:jc w:val="left"/>
        <w:rPr>
          <w:rFonts w:ascii="仿宋" w:hAnsi="仿宋" w:eastAsia="仿宋" w:cs="仿宋"/>
          <w:color w:val="000000"/>
          <w:sz w:val="30"/>
          <w:szCs w:val="30"/>
          <w:lang w:bidi="ar-SA"/>
        </w:rPr>
      </w:pPr>
      <w:r>
        <w:rPr>
          <w:rFonts w:hint="eastAsia" w:ascii="仿宋" w:hAnsi="仿宋" w:eastAsia="仿宋" w:cs="仿宋"/>
          <w:color w:val="000000"/>
          <w:sz w:val="30"/>
          <w:szCs w:val="30"/>
          <w:lang w:bidi="ar-SA"/>
        </w:rPr>
        <w:t>交通是城市的血管，每条道路是否畅通，也关系着人民群众出行的切身利益。本片区作为多条重要市政道路衔接区域，打通贵峰路实现东一环与东二环横向</w:t>
      </w:r>
      <w:bookmarkStart w:id="13" w:name="_GoBack"/>
      <w:bookmarkEnd w:id="13"/>
      <w:r>
        <w:rPr>
          <w:rFonts w:hint="eastAsia" w:ascii="仿宋" w:hAnsi="仿宋" w:eastAsia="仿宋" w:cs="仿宋"/>
          <w:color w:val="000000"/>
          <w:sz w:val="30"/>
          <w:szCs w:val="30"/>
          <w:lang w:bidi="ar-SA"/>
        </w:rPr>
        <w:t>联系，建设东一环北段，实现一环三环主干道南北联通，建设意义重大。本片区作为鲤城北打造山水生态轴、环山生活带，公共活动核、商业活力核重要交汇点，结合生态水系建设、漫道建设，打通蓝绿空间，实现水安全、水生态等要求的同时不断提升群众的获得感、幸福感、安全感。</w:t>
      </w:r>
    </w:p>
    <w:p>
      <w:pPr>
        <w:pageBreakBefore w:val="0"/>
        <w:widowControl w:val="0"/>
        <w:kinsoku/>
        <w:wordWrap/>
        <w:overflowPunct/>
        <w:topLinePunct w:val="0"/>
        <w:autoSpaceDE/>
        <w:autoSpaceDN/>
        <w:bidi w:val="0"/>
        <w:adjustRightInd w:val="0"/>
        <w:snapToGrid w:val="0"/>
        <w:spacing w:before="223" w:beforeLines="50" w:after="223" w:afterLines="50" w:line="600" w:lineRule="exact"/>
        <w:ind w:left="0" w:leftChars="0" w:firstLine="602" w:firstLineChars="200"/>
        <w:textAlignment w:val="auto"/>
        <w:outlineLvl w:val="1"/>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lang w:eastAsia="zh-CN"/>
        </w:rPr>
        <w:t>（二）</w:t>
      </w:r>
      <w:r>
        <w:rPr>
          <w:rFonts w:hint="eastAsia" w:ascii="仿宋" w:hAnsi="仿宋" w:eastAsia="仿宋" w:cs="仿宋"/>
          <w:b/>
          <w:bCs/>
          <w:kern w:val="0"/>
          <w:sz w:val="30"/>
          <w:szCs w:val="30"/>
          <w:highlight w:val="none"/>
        </w:rPr>
        <w:t>科学合理性</w:t>
      </w:r>
      <w:bookmarkEnd w:id="5"/>
      <w:bookmarkEnd w:id="6"/>
      <w:bookmarkEnd w:id="7"/>
      <w:bookmarkEnd w:id="8"/>
      <w:r>
        <w:rPr>
          <w:rFonts w:hint="eastAsia" w:ascii="仿宋" w:hAnsi="仿宋" w:eastAsia="仿宋" w:cs="仿宋"/>
          <w:b/>
          <w:bCs/>
          <w:kern w:val="0"/>
          <w:sz w:val="30"/>
          <w:szCs w:val="30"/>
          <w:highlight w:val="none"/>
          <w:lang w:eastAsia="zh-CN"/>
        </w:rPr>
        <w:t>分析</w:t>
      </w:r>
      <w:bookmarkEnd w:id="9"/>
      <w:bookmarkEnd w:id="10"/>
      <w:bookmarkEnd w:id="11"/>
      <w:bookmarkEnd w:id="12"/>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1.选址科学合理 </w:t>
      </w:r>
    </w:p>
    <w:p>
      <w:pPr>
        <w:autoSpaceDE w:val="0"/>
        <w:autoSpaceDN w:val="0"/>
        <w:adjustRightInd w:val="0"/>
        <w:ind w:firstLine="600" w:firstLineChars="200"/>
        <w:jc w:val="left"/>
        <w:rPr>
          <w:rFonts w:ascii="仿宋" w:hAnsi="仿宋" w:eastAsia="仿宋" w:cs="仿宋"/>
          <w:color w:val="000000"/>
          <w:sz w:val="30"/>
          <w:szCs w:val="30"/>
          <w:lang w:bidi="ar-SA"/>
        </w:rPr>
      </w:pPr>
      <w:r>
        <w:rPr>
          <w:rFonts w:hint="eastAsia" w:ascii="仿宋" w:hAnsi="仿宋" w:eastAsia="仿宋" w:cs="仿宋"/>
          <w:color w:val="000000"/>
          <w:sz w:val="30"/>
          <w:szCs w:val="30"/>
          <w:lang w:bidi="ar-SA"/>
        </w:rPr>
        <w:t>本成片开发方案位于仙游县中心城区北部片区北，方案位于城镇开发边界集中建设区内，不涉及永久基本农田、不涉及生态保护红线，片区地势平坦、地质稳定，无地质灾害易发点。周边基础设施、公共服务设施配套完善，选址科学合理。</w:t>
      </w:r>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2.功能定位科学合理</w:t>
      </w:r>
    </w:p>
    <w:p>
      <w:pPr>
        <w:autoSpaceDE w:val="0"/>
        <w:autoSpaceDN w:val="0"/>
        <w:adjustRightInd w:val="0"/>
        <w:ind w:firstLine="600" w:firstLineChars="200"/>
        <w:jc w:val="left"/>
        <w:rPr>
          <w:rFonts w:ascii="仿宋" w:hAnsi="仿宋" w:eastAsia="仿宋" w:cs="仿宋"/>
          <w:sz w:val="30"/>
          <w:szCs w:val="30"/>
          <w:lang w:bidi="ar-SA"/>
        </w:rPr>
      </w:pPr>
      <w:r>
        <w:rPr>
          <w:rFonts w:hint="eastAsia" w:ascii="仿宋" w:hAnsi="仿宋" w:eastAsia="仿宋" w:cs="仿宋"/>
          <w:sz w:val="30"/>
          <w:szCs w:val="30"/>
          <w:lang w:bidi="ar-SA"/>
        </w:rPr>
        <w:t>本次成片开发方案以《</w:t>
      </w:r>
      <w:r>
        <w:rPr>
          <w:rFonts w:hint="eastAsia" w:ascii="仿宋" w:hAnsi="仿宋" w:eastAsia="仿宋" w:cs="仿宋"/>
          <w:sz w:val="30"/>
          <w:szCs w:val="30"/>
          <w:lang w:eastAsia="zh-CN" w:bidi="ar-SA"/>
        </w:rPr>
        <w:t>仙</w:t>
      </w:r>
      <w:r>
        <w:rPr>
          <w:rFonts w:hint="eastAsia" w:ascii="仿宋" w:hAnsi="仿宋" w:eastAsia="仿宋" w:cs="仿宋"/>
          <w:sz w:val="30"/>
          <w:szCs w:val="30"/>
          <w:lang w:bidi="ar-SA"/>
        </w:rPr>
        <w:t>游县中心城区北部片区控制性详细规划》为基础，成片开发方案以市政基础设施建设为抓手、提升城市形象，改善居住环境、提高群众幸福感和满意度为目的，功能定位上实现城镇住宅、公园绿地、城镇道路等项目统一规划布局，符合控制性详细规划要求，功能定位合理。</w:t>
      </w:r>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w:t>
      </w:r>
      <w:r>
        <w:rPr>
          <w:rFonts w:hint="eastAsia"/>
        </w:rPr>
        <w:t xml:space="preserve"> </w:t>
      </w:r>
      <w:r>
        <w:rPr>
          <w:rFonts w:hint="eastAsia" w:ascii="仿宋" w:hAnsi="仿宋" w:eastAsia="仿宋" w:cs="仿宋"/>
          <w:color w:val="000000"/>
          <w:sz w:val="30"/>
          <w:szCs w:val="30"/>
        </w:rPr>
        <w:t>用地规模合理性</w:t>
      </w:r>
    </w:p>
    <w:p>
      <w:pPr>
        <w:autoSpaceDE w:val="0"/>
        <w:autoSpaceDN w:val="0"/>
        <w:adjustRightInd w:val="0"/>
        <w:ind w:firstLine="600" w:firstLineChars="200"/>
        <w:jc w:val="left"/>
        <w:rPr>
          <w:rFonts w:ascii="仿宋" w:hAnsi="仿宋" w:eastAsia="仿宋" w:cs="仿宋"/>
          <w:sz w:val="30"/>
          <w:szCs w:val="30"/>
          <w:lang w:bidi="ar-SA"/>
        </w:rPr>
      </w:pPr>
      <w:r>
        <w:rPr>
          <w:rFonts w:hint="eastAsia" w:ascii="仿宋" w:hAnsi="仿宋" w:eastAsia="仿宋" w:cs="仿宋"/>
          <w:sz w:val="30"/>
          <w:szCs w:val="30"/>
          <w:lang w:bidi="ar-SA"/>
        </w:rPr>
        <w:t>本成片开发方案用地总规模为</w:t>
      </w:r>
      <w:r>
        <w:rPr>
          <w:rFonts w:hint="eastAsia" w:ascii="仿宋" w:hAnsi="仿宋" w:eastAsia="仿宋" w:cs="仿宋"/>
          <w:sz w:val="30"/>
          <w:szCs w:val="30"/>
          <w:lang w:val="en-US" w:eastAsia="zh-CN" w:bidi="ar-SA"/>
        </w:rPr>
        <w:t>4.0002</w:t>
      </w:r>
      <w:r>
        <w:rPr>
          <w:rFonts w:hint="eastAsia" w:ascii="仿宋" w:hAnsi="仿宋" w:eastAsia="仿宋" w:cs="仿宋"/>
          <w:sz w:val="30"/>
          <w:szCs w:val="30"/>
          <w:lang w:bidi="ar-SA"/>
        </w:rPr>
        <w:t>公顷，用地规模符合闽自然资发〔2021〕3 号文关于县（市）成片开发范围一般不小于4 公顷的规定。方案充分与已批成片开发方案做好衔接，确保后续未报批经营性建设用地成片开放方案留足空间，合理安排用地规模、结构与布局，公益性比例超过40%，符合自然资规〔2020〕5 号的规定，用地规模合理。</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pStyle w:val="2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本方案用地总面积4.0002公顷，主要用途为城镇道路用地、城镇住宅用地。其中：城镇住宅用地0.6063公顷，</w:t>
      </w:r>
      <w:r>
        <w:rPr>
          <w:rFonts w:hint="eastAsia" w:eastAsia="仿宋"/>
          <w:kern w:val="0"/>
          <w:sz w:val="30"/>
          <w:szCs w:val="30"/>
        </w:rPr>
        <w:t>用于</w:t>
      </w:r>
      <w:r>
        <w:rPr>
          <w:rFonts w:eastAsia="仿宋"/>
          <w:kern w:val="0"/>
          <w:sz w:val="30"/>
          <w:szCs w:val="30"/>
        </w:rPr>
        <w:t>城乡住宅用地及其居住生活配套的社区服务设施功能，为居民提供良好的居住环境</w:t>
      </w:r>
      <w:r>
        <w:rPr>
          <w:rFonts w:hint="eastAsia" w:ascii="仿宋" w:hAnsi="仿宋" w:eastAsia="仿宋" w:cs="仿宋"/>
          <w:kern w:val="0"/>
          <w:sz w:val="30"/>
          <w:szCs w:val="30"/>
        </w:rPr>
        <w:t>；城镇道路用地3.3939公顷，实现交通路网畅通的功能。</w:t>
      </w:r>
    </w:p>
    <w:p>
      <w:pPr>
        <w:pStyle w:val="21"/>
      </w:pP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公益性用地包含城镇道路用地合计3.3939公顷，占用地总面积的84.84%，符合自然资规〔2020〕5号文规定。</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adjustRightInd w:val="0"/>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widowControl/>
        <w:tabs>
          <w:tab w:val="left" w:pos="2730"/>
        </w:tabs>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spacing w:line="600" w:lineRule="exact"/>
        <w:ind w:firstLine="620" w:firstLineChars="200"/>
        <w:rPr>
          <w:rFonts w:eastAsia="仿宋_GB2312"/>
          <w:sz w:val="32"/>
          <w:szCs w:val="32"/>
        </w:rPr>
      </w:pPr>
      <w:r>
        <w:rPr>
          <w:rFonts w:ascii="Times New Roman" w:hAnsi="Times New Roman" w:eastAsia="仿宋_GB2312" w:cs="Times New Roman"/>
          <w:kern w:val="0"/>
          <w:sz w:val="31"/>
          <w:szCs w:val="31"/>
          <w:lang w:bidi="ar"/>
        </w:rPr>
        <w:t>（一）土地利用效益：</w:t>
      </w:r>
      <w:r>
        <w:rPr>
          <w:rFonts w:ascii="Times New Roman" w:hAnsi="Times New Roman" w:eastAsia="仿宋_GB2312" w:cs="Times New Roman"/>
          <w:sz w:val="32"/>
          <w:szCs w:val="32"/>
        </w:rPr>
        <w:t>通过土地利用开发，</w:t>
      </w:r>
      <w:r>
        <w:rPr>
          <w:rFonts w:eastAsia="仿宋_GB2312"/>
          <w:sz w:val="32"/>
          <w:szCs w:val="32"/>
        </w:rPr>
        <w:t>可以有效整合区域内土地资源，促进土地资源要素的统筹利用，科学合理布局各类用地，有效推动土地集约、节约利用。</w:t>
      </w:r>
    </w:p>
    <w:p>
      <w:pPr>
        <w:adjustRightInd w:val="0"/>
        <w:snapToGrid w:val="0"/>
        <w:spacing w:line="600" w:lineRule="exact"/>
        <w:ind w:firstLine="570"/>
        <w:rPr>
          <w:rFonts w:hint="eastAsia" w:eastAsia="仿宋_GB2312"/>
          <w:color w:val="auto"/>
          <w:sz w:val="32"/>
          <w:szCs w:val="32"/>
        </w:rPr>
      </w:pPr>
      <w:r>
        <w:rPr>
          <w:rFonts w:ascii="Times New Roman" w:hAnsi="Times New Roman" w:eastAsia="仿宋_GB2312" w:cs="Times New Roman"/>
          <w:kern w:val="0"/>
          <w:sz w:val="31"/>
          <w:szCs w:val="31"/>
          <w:lang w:bidi="ar"/>
        </w:rPr>
        <w:t>（二）经济效益：</w:t>
      </w:r>
      <w:r>
        <w:rPr>
          <w:rFonts w:hint="eastAsia" w:ascii="Calibri" w:hAnsi="Calibri" w:eastAsia="仿宋_GB2312"/>
          <w:color w:val="000000"/>
          <w:kern w:val="0"/>
          <w:sz w:val="32"/>
          <w:szCs w:val="32"/>
          <w:shd w:val="clear" w:color="auto" w:fill="FFFFFF"/>
          <w:lang w:bidi="hi-IN"/>
        </w:rPr>
        <w:t>方案通过城市土地征收再分配的形式，充分挖掘存量建设用地潜力，将原有低效、闲置的土地资源进行再分配，为仙游县中心城区发展储备后续力量，通过新建城镇居住用地，完善城市功能，缓解住房压力，提高片区基础设施、公共服务设施水平，改善片区生活环境，综合提升片区居住承载能力和城市人口承载量。</w:t>
      </w:r>
    </w:p>
    <w:p>
      <w:pPr>
        <w:snapToGrid w:val="0"/>
        <w:spacing w:line="600" w:lineRule="exact"/>
        <w:ind w:firstLine="620" w:firstLineChars="200"/>
        <w:rPr>
          <w:rFonts w:hint="eastAsia" w:ascii="Times New Roman" w:hAnsi="Times New Roman" w:eastAsia="仿宋_GB2312" w:cs="Times New Roman"/>
          <w:kern w:val="0"/>
          <w:sz w:val="31"/>
          <w:szCs w:val="31"/>
          <w:lang w:eastAsia="zh-CN" w:bidi="ar"/>
        </w:rPr>
      </w:pPr>
      <w:r>
        <w:rPr>
          <w:rFonts w:ascii="Times New Roman" w:hAnsi="Times New Roman" w:eastAsia="仿宋_GB2312" w:cs="Times New Roman"/>
          <w:kern w:val="0"/>
          <w:sz w:val="31"/>
          <w:szCs w:val="31"/>
          <w:lang w:bidi="ar"/>
        </w:rPr>
        <w:t>（三）社会效益：</w:t>
      </w:r>
      <w:r>
        <w:rPr>
          <w:rFonts w:hint="eastAsia" w:eastAsia="仿宋_GB2312"/>
          <w:color w:val="000000"/>
          <w:sz w:val="32"/>
          <w:szCs w:val="32"/>
          <w:shd w:val="clear" w:color="auto" w:fill="FFFFFF"/>
        </w:rPr>
        <w:t>片区建成后新增住房面积15000平方米，将有效保障城市住房供应；新建社区带状公园，提升人居环境</w:t>
      </w:r>
      <w:r>
        <w:rPr>
          <w:rFonts w:hint="eastAsia" w:eastAsia="仿宋_GB2312"/>
          <w:color w:val="000000"/>
          <w:sz w:val="32"/>
          <w:szCs w:val="32"/>
          <w:shd w:val="clear" w:color="auto" w:fill="FFFFFF"/>
          <w:lang w:eastAsia="zh-CN"/>
        </w:rPr>
        <w:t>。</w:t>
      </w:r>
    </w:p>
    <w:p>
      <w:pPr>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（四）生态效益：</w:t>
      </w:r>
      <w:r>
        <w:rPr>
          <w:rFonts w:hint="eastAsia" w:ascii="仿宋" w:hAnsi="仿宋" w:eastAsia="仿宋" w:cs="仿宋"/>
          <w:color w:val="000000"/>
          <w:kern w:val="0"/>
          <w:sz w:val="30"/>
          <w:szCs w:val="30"/>
          <w:shd w:val="clear" w:color="auto" w:fill="FFFFFF"/>
        </w:rPr>
        <w:t>通过统一规划，改善城市景观，完善城市基础设施、改善片区交通状况。</w:t>
      </w:r>
    </w:p>
    <w:p>
      <w:pPr>
        <w:overflowPunct w:val="0"/>
        <w:spacing w:line="60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spacing w:before="0" w:after="0" w:line="600" w:lineRule="exact"/>
        <w:ind w:firstLine="620" w:firstLineChars="200"/>
        <w:rPr>
          <w:rFonts w:ascii="Times New Roman" w:hAnsi="Times New Roman" w:eastAsia="仿宋_GB2312" w:cs="Times New Roman"/>
          <w:b w:val="0"/>
          <w:bCs w:val="0"/>
          <w:kern w:val="0"/>
          <w:sz w:val="31"/>
          <w:szCs w:val="31"/>
          <w:lang w:bidi="ar"/>
        </w:rPr>
      </w:pPr>
      <w:r>
        <w:rPr>
          <w:rFonts w:ascii="Times New Roman" w:hAnsi="Times New Roman" w:eastAsia="仿宋_GB2312" w:cs="Times New Roman"/>
          <w:b w:val="0"/>
          <w:bCs w:val="0"/>
          <w:kern w:val="0"/>
          <w:sz w:val="31"/>
          <w:szCs w:val="31"/>
          <w:lang w:bidi="ar"/>
        </w:rPr>
        <w:t>《仙游县202</w:t>
      </w:r>
      <w:r>
        <w:rPr>
          <w:rFonts w:hint="eastAsia" w:ascii="Times New Roman" w:hAnsi="Times New Roman" w:eastAsia="仿宋_GB2312" w:cs="Times New Roman"/>
          <w:b w:val="0"/>
          <w:bCs w:val="0"/>
          <w:kern w:val="0"/>
          <w:sz w:val="31"/>
          <w:szCs w:val="31"/>
          <w:lang w:val="en-US" w:eastAsia="zh-CN" w:bidi="ar"/>
        </w:rPr>
        <w:t>3</w:t>
      </w:r>
      <w:r>
        <w:rPr>
          <w:rFonts w:ascii="Times New Roman" w:hAnsi="Times New Roman" w:eastAsia="仿宋_GB2312" w:cs="Times New Roman"/>
          <w:b w:val="0"/>
          <w:bCs w:val="0"/>
          <w:kern w:val="0"/>
          <w:sz w:val="31"/>
          <w:szCs w:val="31"/>
          <w:lang w:bidi="ar"/>
        </w:rPr>
        <w:t>年度第</w:t>
      </w:r>
      <w:r>
        <w:rPr>
          <w:rFonts w:hint="eastAsia" w:ascii="Times New Roman" w:hAnsi="Times New Roman" w:eastAsia="仿宋_GB2312" w:cs="Times New Roman"/>
          <w:b w:val="0"/>
          <w:bCs w:val="0"/>
          <w:kern w:val="0"/>
          <w:sz w:val="31"/>
          <w:szCs w:val="31"/>
          <w:lang w:eastAsia="zh-CN" w:bidi="ar"/>
        </w:rPr>
        <w:t>六</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eastAsia="zh-CN" w:bidi="ar"/>
        </w:rPr>
        <w:t>鲤城街道鱼鼓山东片区</w:t>
      </w:r>
      <w:r>
        <w:rPr>
          <w:rFonts w:ascii="Times New Roman" w:hAnsi="Times New Roman" w:eastAsia="仿宋_GB2312" w:cs="Times New Roman"/>
          <w:b w:val="0"/>
          <w:bCs w:val="0"/>
          <w:kern w:val="0"/>
          <w:sz w:val="31"/>
          <w:szCs w:val="31"/>
          <w:lang w:bidi="ar"/>
        </w:rPr>
        <w:t>）》符合土地征收成片开发的标准。</w:t>
      </w:r>
    </w:p>
    <w:p>
      <w:pPr>
        <w:overflowPunct w:val="0"/>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br w:type="page"/>
      </w:r>
    </w:p>
    <w:p>
      <w:pPr>
        <w:rPr>
          <w:rFonts w:ascii="Times New Roman" w:hAnsi="Times New Roman" w:cs="Times New Roman"/>
          <w:sz w:val="28"/>
          <w:szCs w:val="28"/>
        </w:rPr>
        <w:sectPr>
          <w:pgSz w:w="11906" w:h="16838"/>
          <w:pgMar w:top="1440" w:right="1797" w:bottom="1440" w:left="1797" w:header="851" w:footer="992" w:gutter="0"/>
          <w:cols w:space="425" w:num="1"/>
          <w:docGrid w:type="lines" w:linePitch="312" w:charSpace="0"/>
        </w:sectPr>
      </w:pPr>
    </w:p>
    <w:p>
      <w:pPr>
        <w:pStyle w:val="6"/>
        <w:spacing w:line="415" w:lineRule="auto"/>
        <w:rPr>
          <w:rFonts w:ascii="Times New Roman" w:hAnsi="Times New Roman" w:eastAsia="仿宋_GB2312" w:cs="Times New Roman"/>
          <w:b w:val="0"/>
          <w:bCs w:val="0"/>
          <w:kern w:val="0"/>
          <w:sz w:val="28"/>
          <w:szCs w:val="28"/>
          <w:lang w:bidi="ar"/>
        </w:rPr>
      </w:pPr>
      <w:r>
        <w:rPr>
          <w:rFonts w:ascii="Times New Roman" w:hAnsi="Times New Roman" w:eastAsia="仿宋_GB2312" w:cs="Times New Roman"/>
          <w:b w:val="0"/>
          <w:bCs w:val="0"/>
          <w:kern w:val="0"/>
          <w:sz w:val="28"/>
          <w:szCs w:val="28"/>
          <w:lang w:bidi="ar"/>
        </w:rPr>
        <w:t>附图1：位置示意图</w:t>
      </w:r>
    </w:p>
    <w:p>
      <w:pPr>
        <w:jc w:val="center"/>
        <w:rPr>
          <w:rFonts w:hint="eastAsia" w:ascii="Times New Roman" w:hAnsi="Times New Roman" w:eastAsia="仿宋_GB2312" w:cs="Times New Roman"/>
          <w:b/>
          <w:bCs/>
          <w:kern w:val="0"/>
          <w:sz w:val="28"/>
          <w:szCs w:val="28"/>
          <w:lang w:eastAsia="zh-CN" w:bidi="ar"/>
        </w:rPr>
      </w:pPr>
      <w:r>
        <w:rPr>
          <w:rFonts w:hint="eastAsia" w:ascii="Times New Roman" w:hAnsi="Times New Roman" w:eastAsia="仿宋_GB2312" w:cs="Times New Roman"/>
          <w:b/>
          <w:bCs/>
          <w:kern w:val="0"/>
          <w:sz w:val="28"/>
          <w:szCs w:val="28"/>
          <w:lang w:eastAsia="zh-CN" w:bidi="ar"/>
        </w:rPr>
        <w:drawing>
          <wp:inline distT="0" distB="0" distL="114300" distR="114300">
            <wp:extent cx="6635750" cy="4695190"/>
            <wp:effectExtent l="0" t="0" r="12700" b="10160"/>
            <wp:docPr id="1" name="图片 1" descr="位置示意图无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位置示意图无公章"/>
                    <pic:cNvPicPr>
                      <a:picLocks noChangeAspect="1"/>
                    </pic:cNvPicPr>
                  </pic:nvPicPr>
                  <pic:blipFill>
                    <a:blip r:embed="rId4"/>
                    <a:stretch>
                      <a:fillRect/>
                    </a:stretch>
                  </pic:blipFill>
                  <pic:spPr>
                    <a:xfrm>
                      <a:off x="0" y="0"/>
                      <a:ext cx="6635750" cy="4695190"/>
                    </a:xfrm>
                    <a:prstGeom prst="rect">
                      <a:avLst/>
                    </a:prstGeom>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86"/>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1519E2"/>
    <w:multiLevelType w:val="singleLevel"/>
    <w:tmpl w:val="121519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1CFA0A64"/>
    <w:rsid w:val="1F106CB2"/>
    <w:rsid w:val="29FF5613"/>
    <w:rsid w:val="2E087EB2"/>
    <w:rsid w:val="36BA63DD"/>
    <w:rsid w:val="36C66087"/>
    <w:rsid w:val="44A65161"/>
    <w:rsid w:val="470923BB"/>
    <w:rsid w:val="4D0E7126"/>
    <w:rsid w:val="57E7336B"/>
    <w:rsid w:val="64992B79"/>
    <w:rsid w:val="66C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1"/>
    <w:link w:val="6"/>
    <w:qFormat/>
    <w:uiPriority w:val="9"/>
    <w:rPr>
      <w:b/>
      <w:bCs/>
      <w:sz w:val="32"/>
      <w:szCs w:val="32"/>
    </w:rPr>
  </w:style>
  <w:style w:type="character" w:customStyle="1" w:styleId="17">
    <w:name w:val="批注框文本 Char"/>
    <w:basedOn w:val="11"/>
    <w:link w:val="7"/>
    <w:semiHidden/>
    <w:qFormat/>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 w:type="paragraph" w:customStyle="1" w:styleId="20">
    <w:name w:val="正文1"/>
    <w:basedOn w:val="1"/>
    <w:next w:val="21"/>
    <w:qFormat/>
    <w:uiPriority w:val="0"/>
    <w:pPr>
      <w:adjustRightInd w:val="0"/>
      <w:ind w:firstLine="482"/>
      <w:textAlignment w:val="baseline"/>
    </w:pPr>
    <w:rPr>
      <w:rFonts w:ascii="宋体" w:hAnsi="宋体"/>
      <w:color w:val="000000"/>
      <w:kern w:val="28"/>
      <w:sz w:val="24"/>
    </w:rPr>
  </w:style>
  <w:style w:type="paragraph" w:customStyle="1" w:styleId="21">
    <w:name w:val="正文首行缩进 21"/>
    <w:basedOn w:val="22"/>
    <w:qFormat/>
    <w:uiPriority w:val="0"/>
  </w:style>
  <w:style w:type="paragraph" w:customStyle="1" w:styleId="22">
    <w:name w:val="正文缩进1"/>
    <w:basedOn w:val="20"/>
    <w:qFormat/>
    <w:uiPriority w:val="0"/>
    <w:pPr>
      <w:spacing w:line="240" w:lineRule="auto"/>
    </w:pPr>
    <w:rPr>
      <w:rFonts w:eastAsia="宋体"/>
      <w:szCs w:val="24"/>
    </w:rPr>
  </w:style>
  <w:style w:type="paragraph" w:customStyle="1" w:styleId="23">
    <w:name w:val="标题 21"/>
    <w:basedOn w:val="20"/>
    <w:next w:val="20"/>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2663</Words>
  <Characters>2764</Characters>
  <Lines>15</Lines>
  <Paragraphs>4</Paragraphs>
  <TotalTime>1</TotalTime>
  <ScaleCrop>false</ScaleCrop>
  <LinksUpToDate>false</LinksUpToDate>
  <CharactersWithSpaces>2766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林晨</cp:lastModifiedBy>
  <cp:lastPrinted>2021-04-15T09:16:00Z</cp:lastPrinted>
  <dcterms:modified xsi:type="dcterms:W3CDTF">2023-06-05T08:10:19Z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8C77B8F4BED9433F9C87361D79D9898B_13</vt:lpwstr>
  </property>
</Properties>
</file>