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Style w:val="5"/>
        <w:jc w:val="center"/>
        <w:rPr>
          <w:rFonts w:ascii="Times New Roman" w:hAnsi="Times New Roman" w:eastAsia="宋体" w:cs="Times New Roman"/>
        </w:rPr>
      </w:pPr>
      <w:r>
        <w:rPr>
          <w:rFonts w:ascii="Times New Roman" w:hAnsi="Times New Roman" w:eastAsia="宋体" w:cs="Times New Roman"/>
        </w:rPr>
        <w:t>仙游县202</w:t>
      </w:r>
      <w:r>
        <w:rPr>
          <w:rFonts w:hint="eastAsia" w:ascii="Times New Roman" w:hAnsi="Times New Roman" w:eastAsia="宋体" w:cs="Times New Roman"/>
          <w:lang w:val="en-US" w:eastAsia="zh-CN"/>
        </w:rPr>
        <w:t>3</w:t>
      </w:r>
      <w:r>
        <w:rPr>
          <w:rFonts w:ascii="Times New Roman" w:hAnsi="Times New Roman" w:eastAsia="宋体" w:cs="Times New Roman"/>
        </w:rPr>
        <w:t>年度第</w:t>
      </w:r>
      <w:r>
        <w:rPr>
          <w:rFonts w:hint="eastAsia" w:ascii="Times New Roman" w:hAnsi="Times New Roman" w:eastAsia="宋体" w:cs="Times New Roman"/>
          <w:lang w:eastAsia="zh-CN"/>
        </w:rPr>
        <w:t>八</w:t>
      </w:r>
      <w:r>
        <w:rPr>
          <w:rFonts w:ascii="Times New Roman" w:hAnsi="Times New Roman" w:eastAsia="宋体" w:cs="Times New Roman"/>
        </w:rPr>
        <w:t>批次土地征收成片开发方案（</w:t>
      </w:r>
      <w:r>
        <w:rPr>
          <w:rFonts w:hint="eastAsia" w:ascii="Times New Roman" w:hAnsi="Times New Roman" w:eastAsia="宋体" w:cs="Times New Roman"/>
          <w:lang w:val="en-US" w:eastAsia="zh-CN"/>
        </w:rPr>
        <w:t>慈岳产业平台建国片区</w:t>
      </w:r>
      <w:r>
        <w:rPr>
          <w:rFonts w:ascii="Times New Roman" w:hAnsi="Times New Roman" w:eastAsia="宋体" w:cs="Times New Roman"/>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三五年远景目标纲要》编制《仙游县202</w:t>
      </w:r>
      <w:r>
        <w:rPr>
          <w:rFonts w:hint="eastAsia" w:ascii="Times New Roman" w:hAnsi="Times New Roman" w:eastAsia="仿宋_GB2312" w:cs="Times New Roman"/>
          <w:kern w:val="0"/>
          <w:sz w:val="31"/>
          <w:szCs w:val="31"/>
          <w:lang w:val="en-US" w:eastAsia="zh-CN" w:bidi="ar"/>
        </w:rPr>
        <w:t>3</w:t>
      </w:r>
      <w:r>
        <w:rPr>
          <w:rFonts w:ascii="Times New Roman" w:hAnsi="Times New Roman" w:eastAsia="仿宋_GB2312" w:cs="Times New Roman"/>
          <w:kern w:val="0"/>
          <w:sz w:val="31"/>
          <w:szCs w:val="31"/>
          <w:lang w:bidi="ar"/>
        </w:rPr>
        <w:t>年度第</w:t>
      </w:r>
      <w:r>
        <w:rPr>
          <w:rFonts w:hint="eastAsia" w:ascii="Times New Roman" w:hAnsi="Times New Roman" w:eastAsia="仿宋_GB2312" w:cs="Times New Roman"/>
          <w:kern w:val="0"/>
          <w:sz w:val="31"/>
          <w:szCs w:val="31"/>
          <w:lang w:eastAsia="zh-CN" w:bidi="ar"/>
        </w:rPr>
        <w:t>八</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val="en-US" w:eastAsia="zh-CN" w:bidi="ar"/>
        </w:rPr>
        <w:t>慈岳产业平台建国片区</w:t>
      </w:r>
      <w:r>
        <w:rPr>
          <w:rFonts w:ascii="Times New Roman" w:hAnsi="Times New Roman" w:eastAsia="仿宋_GB2312" w:cs="Times New Roman"/>
          <w:kern w:val="0"/>
          <w:sz w:val="31"/>
          <w:szCs w:val="31"/>
          <w:lang w:bidi="ar"/>
        </w:rPr>
        <w:t>）》。</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overflowPunct w:val="0"/>
        <w:spacing w:line="60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枫亭镇铺头社区</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个镇</w:t>
      </w:r>
      <w:r>
        <w:rPr>
          <w:rFonts w:hint="eastAsia" w:ascii="Times New Roman" w:hAnsi="Times New Roman" w:eastAsia="仿宋_GB2312" w:cs="Times New Roman"/>
          <w:kern w:val="0"/>
          <w:sz w:val="31"/>
          <w:szCs w:val="31"/>
          <w:lang w:val="en-US" w:eastAsia="zh-CN" w:bidi="ar"/>
        </w:rPr>
        <w:t>1</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社区</w:t>
      </w:r>
      <w:r>
        <w:rPr>
          <w:rFonts w:ascii="Times New Roman" w:hAnsi="Times New Roman" w:eastAsia="仿宋_GB2312" w:cs="Times New Roman"/>
          <w:kern w:val="0"/>
          <w:sz w:val="31"/>
          <w:szCs w:val="31"/>
          <w:lang w:bidi="ar"/>
        </w:rPr>
        <w:t>；涉及1个国有单位，不涉及省级和国家级开发区。</w:t>
      </w:r>
    </w:p>
    <w:p>
      <w:pPr>
        <w:kinsoku/>
        <w:wordWrap/>
        <w:overflowPunct/>
        <w:topLinePunct w:val="0"/>
        <w:autoSpaceDE/>
        <w:autoSpaceDN/>
        <w:bidi w:val="0"/>
        <w:adjustRightInd w:val="0"/>
        <w:snapToGrid w:val="0"/>
        <w:spacing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本方案成片开发范围总面积</w:t>
      </w:r>
      <w:r>
        <w:rPr>
          <w:rFonts w:hint="eastAsia" w:ascii="仿宋" w:hAnsi="仿宋" w:eastAsia="仿宋" w:cs="仿宋"/>
          <w:color w:val="000000"/>
          <w:kern w:val="0"/>
          <w:sz w:val="30"/>
          <w:szCs w:val="30"/>
        </w:rPr>
        <w:t>4.</w:t>
      </w:r>
      <w:r>
        <w:rPr>
          <w:rFonts w:ascii="仿宋" w:hAnsi="仿宋" w:eastAsia="仿宋" w:cs="仿宋"/>
          <w:color w:val="000000"/>
          <w:kern w:val="0"/>
          <w:sz w:val="30"/>
          <w:szCs w:val="30"/>
        </w:rPr>
        <w:t>6623</w:t>
      </w:r>
      <w:r>
        <w:rPr>
          <w:rFonts w:hint="eastAsia" w:ascii="仿宋" w:hAnsi="仿宋" w:eastAsia="仿宋" w:cs="仿宋"/>
          <w:color w:val="000000"/>
          <w:kern w:val="0"/>
          <w:sz w:val="30"/>
          <w:szCs w:val="30"/>
        </w:rPr>
        <w:t>公顷，其中：农用地</w:t>
      </w:r>
      <w:r>
        <w:rPr>
          <w:rFonts w:ascii="仿宋" w:hAnsi="仿宋" w:eastAsia="仿宋" w:cs="仿宋"/>
          <w:color w:val="000000"/>
          <w:kern w:val="0"/>
          <w:sz w:val="30"/>
          <w:szCs w:val="30"/>
        </w:rPr>
        <w:t>0</w:t>
      </w:r>
      <w:r>
        <w:rPr>
          <w:rFonts w:hint="eastAsia" w:ascii="仿宋" w:hAnsi="仿宋" w:eastAsia="仿宋" w:cs="仿宋"/>
          <w:color w:val="000000"/>
          <w:kern w:val="0"/>
          <w:sz w:val="30"/>
          <w:szCs w:val="30"/>
        </w:rPr>
        <w:t>公顷（其中：耕地0公顷），建设用地</w:t>
      </w:r>
      <w:r>
        <w:rPr>
          <w:rFonts w:ascii="仿宋" w:hAnsi="仿宋" w:eastAsia="仿宋" w:cs="仿宋"/>
          <w:color w:val="000000"/>
          <w:kern w:val="0"/>
          <w:sz w:val="30"/>
          <w:szCs w:val="30"/>
        </w:rPr>
        <w:t>4.6623</w:t>
      </w:r>
      <w:r>
        <w:rPr>
          <w:rFonts w:hint="eastAsia" w:ascii="仿宋" w:hAnsi="仿宋" w:eastAsia="仿宋" w:cs="仿宋"/>
          <w:color w:val="000000"/>
          <w:kern w:val="0"/>
          <w:sz w:val="30"/>
          <w:szCs w:val="30"/>
        </w:rPr>
        <w:t>公顷，不涉及未利用地</w:t>
      </w:r>
    </w:p>
    <w:p>
      <w:pPr>
        <w:widowControl/>
        <w:numPr>
          <w:ilvl w:val="0"/>
          <w:numId w:val="2"/>
        </w:numPr>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pStyle w:val="20"/>
        <w:keepNext/>
        <w:keepLines/>
        <w:spacing w:before="156" w:beforeLines="50" w:after="156" w:afterLines="5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r>
        <w:rPr>
          <w:rFonts w:hint="eastAsia" w:eastAsia="仿宋"/>
          <w:kern w:val="0"/>
          <w:sz w:val="30"/>
          <w:szCs w:val="30"/>
        </w:rPr>
        <w:t>枫亭镇“北拓”战略高质量发展必然要求</w:t>
      </w:r>
    </w:p>
    <w:p>
      <w:pPr>
        <w:pStyle w:val="20"/>
        <w:ind w:firstLine="600" w:firstLineChars="200"/>
        <w:jc w:val="left"/>
        <w:rPr>
          <w:rFonts w:ascii="仿宋" w:hAnsi="仿宋" w:eastAsia="仿宋" w:cs="仿宋"/>
          <w:b/>
          <w:bCs/>
          <w:sz w:val="30"/>
          <w:szCs w:val="30"/>
        </w:rPr>
      </w:pPr>
      <w:r>
        <w:rPr>
          <w:rFonts w:hint="eastAsia" w:eastAsia="仿宋"/>
          <w:kern w:val="0"/>
          <w:sz w:val="30"/>
          <w:szCs w:val="30"/>
        </w:rPr>
        <w:t>“十四五”期间枫亭镇将经济开发区园区作为产业发展主战场，按照“一心双园”产业布局落实园区高质量发展措施，突出做好仙游经济开发区枫亭核心产业园和慈岳片区产业园的全方位服务工作，因地制宜发挥各片区特色主导产业，以“东西华峰”为龙头，依托3C智能产业园，打造鞋服、化工、机械制造、电子信息产业集群，形成枫亭特色全产业链体系，全面提升滨海新城发展水平和经济实力。该片区位于枫亭城乡空间发展方向的“北拓”片区，“十四五”规划提出应结合老城北拓区域联动慈岳工业平台及开发区南北片区综合发展，结合近期湄工校等教育设施的调整，顺应城镇北进趋势，往北向建国、上浒、麟山村发展。片区以临经济开发区南北片区西接慈岳片区，紧邻国道324，产业基础设施配套完善，有利于产业上下游产业链，该区域将作为枫亭镇北拓战略的启动区</w:t>
      </w:r>
      <w:r>
        <w:rPr>
          <w:rFonts w:hint="eastAsia" w:ascii="仿宋" w:hAnsi="仿宋" w:eastAsia="仿宋" w:cs="仿宋"/>
          <w:color w:val="000000"/>
          <w:sz w:val="30"/>
          <w:szCs w:val="30"/>
        </w:rPr>
        <w:t>。</w:t>
      </w:r>
    </w:p>
    <w:p>
      <w:pPr>
        <w:pStyle w:val="20"/>
        <w:keepNext/>
        <w:keepLines/>
        <w:spacing w:before="156" w:beforeLines="50" w:after="156" w:afterLines="5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2、完善产业链，推动仙游红木家具转型升级及智能家居产业高质量发展</w:t>
      </w:r>
    </w:p>
    <w:p>
      <w:pPr>
        <w:pStyle w:val="20"/>
        <w:snapToGrid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莆田市加快实施“336”工程，工艺美术是其中3个千亿支柱产业之一，其中仙游县工艺美术产业的比重达到70%以上。仙游县把古典工艺家具产业作为支柱产业来打造，古典工艺家具产业已成为仙游县最具基础、最具特色、最具优势的富民产业、支柱产业和文化创意产业，是仙游县重点培育的产业集群之一，也是仙游经济发展的基础需求。仙游县提出要推进产业链化发展，巩固仙游产业链，依托工艺产业园，重复发挥“世界中式古典家具之都”“中国古典工艺家具之都”品牌效应，加强产业平台配套。近年来智能家居产业近年来蓬勃兴起，给人们提供了更加便捷、实惠、舒适和安全的生活方式,提高了人们的生活质量。随着科技的飞速发展,我国智能家居产业也进入了快速发展阶段。“智能家居”将赋能红木行业，促进产业结构优化。结合</w:t>
      </w:r>
      <w:r>
        <w:rPr>
          <w:rFonts w:hint="eastAsia" w:eastAsia="仿宋"/>
          <w:kern w:val="0"/>
          <w:sz w:val="30"/>
          <w:szCs w:val="30"/>
        </w:rPr>
        <w:t>3C智能产业园招商建设，</w:t>
      </w:r>
      <w:r>
        <w:rPr>
          <w:rFonts w:hint="eastAsia" w:ascii="仿宋" w:hAnsi="仿宋" w:eastAsia="仿宋" w:cs="仿宋"/>
          <w:color w:val="000000"/>
          <w:kern w:val="0"/>
          <w:sz w:val="30"/>
          <w:szCs w:val="30"/>
        </w:rPr>
        <w:t>该区域拟引进智能红木家居企业，致力打造涵盖智能红木家居研发、设计、生产、加工、制造，再到智能家居产品展示、体验及技术服务一条龙的现代化智能产业园区。</w:t>
      </w:r>
      <w:bookmarkStart w:id="0" w:name="_Toc6170"/>
      <w:r>
        <w:rPr>
          <w:rFonts w:hint="eastAsia" w:ascii="仿宋" w:hAnsi="仿宋" w:eastAsia="仿宋" w:cs="仿宋"/>
          <w:color w:val="000000"/>
          <w:kern w:val="0"/>
          <w:sz w:val="30"/>
          <w:szCs w:val="30"/>
        </w:rPr>
        <w:t>项目建成后将拓展“仙作”产品市场，延伸“仙作”产业产业链条。促进仙游红木再升级。</w:t>
      </w:r>
    </w:p>
    <w:p>
      <w:pPr>
        <w:pStyle w:val="23"/>
        <w:spacing w:before="156" w:beforeLines="50" w:after="156" w:afterLines="50" w:line="580" w:lineRule="exact"/>
        <w:ind w:firstLine="602"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(二)科学合理性分析</w:t>
      </w:r>
      <w:bookmarkEnd w:id="0"/>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1.选址科学合理 </w:t>
      </w:r>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本片区位于仙游县枫亭镇，项目区位交通条件优越</w:t>
      </w:r>
      <w:r>
        <w:rPr>
          <w:rFonts w:hint="eastAsia" w:ascii="仿宋" w:hAnsi="仿宋" w:eastAsia="仿宋" w:cs="仿宋"/>
          <w:color w:val="000000"/>
          <w:sz w:val="30"/>
          <w:szCs w:val="30"/>
        </w:rPr>
        <w:t>。本片区落地项目以智能家居标准化厂房建设为主，标准化厂房是提升产业集聚功能、实现高质量转型发展的重要平台载体，也是优化营商环境、促进招商引资、助推产业发展的有力抓手。方案选址科学合理，有利于成片开发的实施。</w:t>
      </w:r>
    </w:p>
    <w:p>
      <w:pPr>
        <w:pStyle w:val="20"/>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2.功能定位科学合理</w:t>
      </w:r>
    </w:p>
    <w:p>
      <w:pPr>
        <w:pStyle w:val="20"/>
        <w:ind w:firstLine="600" w:firstLineChars="200"/>
        <w:jc w:val="left"/>
        <w:rPr>
          <w:rFonts w:ascii="仿宋" w:hAnsi="仿宋" w:eastAsia="仿宋" w:cs="仿宋"/>
          <w:sz w:val="30"/>
          <w:szCs w:val="30"/>
        </w:rPr>
      </w:pPr>
      <w:r>
        <w:rPr>
          <w:rFonts w:hint="eastAsia" w:ascii="仿宋" w:hAnsi="仿宋" w:eastAsia="仿宋" w:cs="仿宋"/>
          <w:color w:val="000000"/>
          <w:sz w:val="30"/>
          <w:szCs w:val="30"/>
        </w:rPr>
        <w:t>本次成片开发方案以《</w:t>
      </w:r>
      <w:r>
        <w:rPr>
          <w:rFonts w:hint="eastAsia" w:ascii="仿宋" w:hAnsi="仿宋" w:eastAsia="仿宋" w:cs="仿宋"/>
          <w:color w:val="000000"/>
          <w:kern w:val="0"/>
          <w:sz w:val="30"/>
          <w:szCs w:val="30"/>
        </w:rPr>
        <w:t>仙游县枫亭镇蔡襄片区控制性详细规划</w:t>
      </w:r>
      <w:r>
        <w:rPr>
          <w:rFonts w:hint="eastAsia" w:ascii="仿宋" w:hAnsi="仿宋" w:eastAsia="仿宋" w:cs="仿宋"/>
          <w:color w:val="000000"/>
          <w:sz w:val="30"/>
          <w:szCs w:val="30"/>
        </w:rPr>
        <w:t>》为基础，结合当地相关部门用地需求，以促进产业发展、划定本次成片开发范围。本方案充分衔接相关控制详细规划等，定位与产业专项策划研究成果，依托交通区位优势建设家具制造标准化厂房，现状建设用地占</w:t>
      </w:r>
      <w:r>
        <w:rPr>
          <w:rFonts w:ascii="仿宋" w:hAnsi="仿宋" w:eastAsia="仿宋" w:cs="仿宋"/>
          <w:color w:val="000000"/>
          <w:sz w:val="30"/>
          <w:szCs w:val="30"/>
        </w:rPr>
        <w:t>100</w:t>
      </w:r>
      <w:r>
        <w:rPr>
          <w:rFonts w:hint="eastAsia" w:ascii="仿宋" w:hAnsi="仿宋" w:eastAsia="仿宋" w:cs="仿宋"/>
          <w:color w:val="000000"/>
          <w:sz w:val="30"/>
          <w:szCs w:val="30"/>
        </w:rPr>
        <w:t>%。占用耕地较少。规划以工矿用地为主，结合公用设施用地、增加绿地与开敞空间用地，完善公共基础设施功能，功能定位科学合理。</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pStyle w:val="20"/>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本方案用地总面积4.6623公顷，主要用途为工业用地。其中：工业用地2.7081公顷，主要用于智能家居标准化厂房建设；机关团体用地0.5273公顷，为现状公路站提供行政办公场所；供燃气用地面积0.4276公顷，提供燃气服务；供水用地0.4046公顷，用于自来水供应；城镇道路用地0.3415公顷，现状道路实现交通路网畅通的功能；防护绿地0.2532公顷，用于绿化隔离。</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pStyle w:val="20"/>
        <w:widowControl/>
        <w:ind w:firstLine="600" w:firstLineChars="200"/>
        <w:rPr>
          <w:rFonts w:ascii="仿宋" w:hAnsi="仿宋" w:eastAsia="仿宋" w:cs="仿宋"/>
          <w:sz w:val="30"/>
          <w:szCs w:val="30"/>
        </w:rPr>
      </w:pPr>
      <w:r>
        <w:rPr>
          <w:rFonts w:hint="eastAsia" w:ascii="仿宋" w:hAnsi="仿宋" w:eastAsia="仿宋" w:cs="仿宋"/>
          <w:kern w:val="0"/>
          <w:sz w:val="30"/>
          <w:szCs w:val="30"/>
        </w:rPr>
        <w:t>公益性用地包含机关团体用地、供燃气用地、供水用地、防护绿地，合计</w:t>
      </w:r>
      <w:r>
        <w:rPr>
          <w:rFonts w:ascii="仿宋" w:hAnsi="仿宋" w:eastAsia="仿宋" w:cs="仿宋"/>
          <w:kern w:val="0"/>
          <w:sz w:val="30"/>
          <w:szCs w:val="30"/>
        </w:rPr>
        <w:t>1.9542</w:t>
      </w:r>
      <w:r>
        <w:rPr>
          <w:rFonts w:hint="eastAsia" w:ascii="仿宋" w:hAnsi="仿宋" w:eastAsia="仿宋" w:cs="仿宋"/>
          <w:kern w:val="0"/>
          <w:sz w:val="30"/>
          <w:szCs w:val="30"/>
        </w:rPr>
        <w:t>公顷，占用地总面积的4</w:t>
      </w:r>
      <w:r>
        <w:rPr>
          <w:rFonts w:ascii="仿宋" w:hAnsi="仿宋" w:eastAsia="仿宋" w:cs="仿宋"/>
          <w:kern w:val="0"/>
          <w:sz w:val="30"/>
          <w:szCs w:val="30"/>
        </w:rPr>
        <w:t>1.91</w:t>
      </w:r>
      <w:r>
        <w:rPr>
          <w:rFonts w:hint="eastAsia" w:ascii="仿宋" w:hAnsi="仿宋" w:eastAsia="仿宋" w:cs="仿宋"/>
          <w:kern w:val="0"/>
          <w:sz w:val="30"/>
          <w:szCs w:val="30"/>
        </w:rPr>
        <w:t>%，符合自然资规〔2020〕5号文规定。</w:t>
      </w:r>
    </w:p>
    <w:p>
      <w:pPr>
        <w:widowControl/>
        <w:tabs>
          <w:tab w:val="left" w:pos="2730"/>
        </w:tabs>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adjustRightInd w:val="0"/>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widowControl/>
        <w:tabs>
          <w:tab w:val="left" w:pos="2730"/>
        </w:tabs>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spacing w:line="600" w:lineRule="exact"/>
        <w:ind w:firstLine="620" w:firstLineChars="200"/>
        <w:rPr>
          <w:rFonts w:eastAsia="仿宋_GB2312"/>
          <w:sz w:val="32"/>
          <w:szCs w:val="32"/>
        </w:rPr>
      </w:pPr>
      <w:r>
        <w:rPr>
          <w:rFonts w:ascii="Times New Roman" w:hAnsi="Times New Roman" w:eastAsia="仿宋_GB2312" w:cs="Times New Roman"/>
          <w:kern w:val="0"/>
          <w:sz w:val="31"/>
          <w:szCs w:val="31"/>
          <w:lang w:bidi="ar"/>
        </w:rPr>
        <w:t>（一）土地利用效益：</w:t>
      </w:r>
      <w:r>
        <w:rPr>
          <w:rFonts w:ascii="Times New Roman" w:hAnsi="Times New Roman" w:eastAsia="仿宋_GB2312" w:cs="Times New Roman"/>
          <w:sz w:val="32"/>
          <w:szCs w:val="32"/>
        </w:rPr>
        <w:t>通过土地利用开发，</w:t>
      </w:r>
      <w:r>
        <w:rPr>
          <w:rFonts w:eastAsia="仿宋_GB2312"/>
          <w:sz w:val="32"/>
          <w:szCs w:val="32"/>
        </w:rPr>
        <w:t>可以有效整合区域内土地资源，促进土地资源要素的统筹利用，科学合理布局各类用地，有效推动土地集约、节约利用。</w:t>
      </w:r>
    </w:p>
    <w:p>
      <w:pPr>
        <w:pStyle w:val="20"/>
        <w:snapToGrid w:val="0"/>
        <w:ind w:firstLine="620" w:firstLineChars="200"/>
        <w:rPr>
          <w:rFonts w:ascii="仿宋" w:hAnsi="仿宋" w:eastAsia="仿宋" w:cs="仿宋"/>
          <w:color w:val="000000"/>
          <w:kern w:val="0"/>
          <w:sz w:val="30"/>
          <w:szCs w:val="30"/>
        </w:rPr>
      </w:pPr>
      <w:r>
        <w:rPr>
          <w:rFonts w:ascii="Times New Roman" w:hAnsi="Times New Roman" w:eastAsia="仿宋_GB2312" w:cs="Times New Roman"/>
          <w:kern w:val="0"/>
          <w:sz w:val="31"/>
          <w:szCs w:val="31"/>
          <w:lang w:bidi="ar"/>
        </w:rPr>
        <w:t>（二）经济效益：</w:t>
      </w:r>
      <w:r>
        <w:rPr>
          <w:rFonts w:hint="eastAsia" w:eastAsia="仿宋_GB2312" w:asciiTheme="minorHAnsi" w:hAnsiTheme="minorHAnsi" w:cstheme="minorBidi"/>
          <w:kern w:val="2"/>
          <w:sz w:val="32"/>
          <w:szCs w:val="32"/>
          <w:lang w:val="en-US" w:eastAsia="zh-CN" w:bidi="ar-SA"/>
        </w:rPr>
        <w:t>该</w:t>
      </w:r>
      <w:r>
        <w:rPr>
          <w:rFonts w:hint="eastAsia" w:ascii="Times New Roman" w:hAnsi="Times New Roman" w:eastAsia="仿宋_GB2312" w:cs="Times New Roman"/>
          <w:kern w:val="2"/>
          <w:sz w:val="32"/>
          <w:szCs w:val="32"/>
          <w:lang w:val="en-US" w:eastAsia="zh-CN" w:bidi="ar-SA"/>
        </w:rPr>
        <w:t>地块拟作为红木智能家具标准化厂房建设，有助于打造龙头企业，完善企业产业链条，提高企业创新力和竞争力，促使企业向专业化、社会化发展，有利于形成产业集群，促进区域经济发展。本方案成片开发预计用于工业用地面积2.7081公顷，固定资产投资为150万元/亩，地均税收每年约为40万元/亩,总固定资产投资约0.85亿元，年总税收约1278万元。</w:t>
      </w:r>
    </w:p>
    <w:p>
      <w:pPr>
        <w:adjustRightInd w:val="0"/>
        <w:snapToGrid w:val="0"/>
        <w:spacing w:line="600" w:lineRule="exact"/>
        <w:ind w:firstLine="570"/>
        <w:rPr>
          <w:rFonts w:hint="eastAsia" w:eastAsia="仿宋_GB2312"/>
          <w:color w:val="auto"/>
          <w:sz w:val="32"/>
          <w:szCs w:val="32"/>
        </w:rPr>
      </w:pPr>
    </w:p>
    <w:p>
      <w:pPr>
        <w:snapToGrid w:val="0"/>
        <w:spacing w:line="600" w:lineRule="exact"/>
        <w:ind w:firstLine="620" w:firstLineChars="200"/>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（三）社会效益：本方案的实施</w:t>
      </w:r>
      <w:r>
        <w:rPr>
          <w:rFonts w:ascii="Times New Roman" w:hAnsi="Times New Roman" w:eastAsia="仿宋_GB2312" w:cs="Times New Roman"/>
          <w:sz w:val="32"/>
          <w:szCs w:val="32"/>
          <w:shd w:val="clear" w:color="auto" w:fill="FFFFFF"/>
        </w:rPr>
        <w:t>有利于完善基础设施；</w:t>
      </w:r>
      <w:r>
        <w:rPr>
          <w:rFonts w:hint="eastAsia" w:ascii="Times New Roman" w:hAnsi="Times New Roman" w:eastAsia="仿宋_GB2312" w:cs="Times New Roman"/>
          <w:kern w:val="0"/>
          <w:sz w:val="31"/>
          <w:szCs w:val="31"/>
          <w:lang w:bidi="ar"/>
        </w:rPr>
        <w:t>有利于</w:t>
      </w:r>
      <w:r>
        <w:rPr>
          <w:rFonts w:ascii="Times New Roman" w:hAnsi="Times New Roman" w:eastAsia="仿宋_GB2312" w:cs="Times New Roman"/>
          <w:sz w:val="32"/>
          <w:szCs w:val="32"/>
          <w:shd w:val="clear" w:color="auto" w:fill="FFFFFF"/>
        </w:rPr>
        <w:t>增加就业机会，提高居民人均收入。</w:t>
      </w:r>
    </w:p>
    <w:p>
      <w:pPr>
        <w:snapToGrid w:val="0"/>
        <w:spacing w:line="60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（四）生态效益：本方案成片开发项目</w:t>
      </w:r>
      <w:r>
        <w:rPr>
          <w:rFonts w:eastAsia="仿宋_GB2312"/>
          <w:sz w:val="32"/>
          <w:szCs w:val="32"/>
        </w:rPr>
        <w:t>根据《工矿用地土壤环境管理办法（试行）》，加强工矿用地土壤和地下水环境保护监督管理，防治工矿用地土壤和地下水污染。</w:t>
      </w:r>
      <w:r>
        <w:rPr>
          <w:rFonts w:ascii="Times New Roman" w:hAnsi="Times New Roman" w:eastAsia="仿宋_GB2312" w:cs="Times New Roman"/>
          <w:sz w:val="32"/>
          <w:szCs w:val="32"/>
        </w:rPr>
        <w:t>在土地利用开发、规划等过程中，将严格按照相关法律法规落实水环境保护措施，确保满足周边及下游水环境质量与安全要求。</w:t>
      </w:r>
    </w:p>
    <w:p>
      <w:pPr>
        <w:overflowPunct w:val="0"/>
        <w:spacing w:line="60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spacing w:before="0" w:after="0" w:line="600" w:lineRule="exact"/>
        <w:ind w:firstLine="620" w:firstLineChars="200"/>
        <w:rPr>
          <w:rFonts w:ascii="Times New Roman" w:hAnsi="Times New Roman" w:cs="Times New Roman"/>
          <w:sz w:val="28"/>
          <w:szCs w:val="28"/>
        </w:rPr>
        <w:sectPr>
          <w:pgSz w:w="11906" w:h="16838"/>
          <w:pgMar w:top="1440" w:right="1797" w:bottom="1440" w:left="1797" w:header="851" w:footer="992" w:gutter="0"/>
          <w:cols w:space="425" w:num="1"/>
          <w:docGrid w:type="lines" w:linePitch="312" w:charSpace="0"/>
        </w:sectPr>
      </w:pPr>
      <w:r>
        <w:rPr>
          <w:rFonts w:ascii="Times New Roman" w:hAnsi="Times New Roman" w:eastAsia="仿宋_GB2312" w:cs="Times New Roman"/>
          <w:b w:val="0"/>
          <w:bCs w:val="0"/>
          <w:kern w:val="0"/>
          <w:sz w:val="31"/>
          <w:szCs w:val="31"/>
          <w:lang w:bidi="ar"/>
        </w:rPr>
        <w:t>《仙游县202</w:t>
      </w:r>
      <w:r>
        <w:rPr>
          <w:rFonts w:hint="eastAsia" w:ascii="Times New Roman" w:hAnsi="Times New Roman" w:eastAsia="仿宋_GB2312" w:cs="Times New Roman"/>
          <w:b w:val="0"/>
          <w:bCs w:val="0"/>
          <w:kern w:val="0"/>
          <w:sz w:val="31"/>
          <w:szCs w:val="31"/>
          <w:lang w:val="en-US" w:eastAsia="zh-CN" w:bidi="ar"/>
        </w:rPr>
        <w:t>3</w:t>
      </w:r>
      <w:r>
        <w:rPr>
          <w:rFonts w:ascii="Times New Roman" w:hAnsi="Times New Roman" w:eastAsia="仿宋_GB2312" w:cs="Times New Roman"/>
          <w:b w:val="0"/>
          <w:bCs w:val="0"/>
          <w:kern w:val="0"/>
          <w:sz w:val="31"/>
          <w:szCs w:val="31"/>
          <w:lang w:bidi="ar"/>
        </w:rPr>
        <w:t>年度第</w:t>
      </w:r>
      <w:r>
        <w:rPr>
          <w:rFonts w:hint="eastAsia" w:ascii="Times New Roman" w:hAnsi="Times New Roman" w:eastAsia="仿宋_GB2312" w:cs="Times New Roman"/>
          <w:b w:val="0"/>
          <w:bCs w:val="0"/>
          <w:kern w:val="0"/>
          <w:sz w:val="31"/>
          <w:szCs w:val="31"/>
          <w:lang w:eastAsia="zh-CN" w:bidi="ar"/>
        </w:rPr>
        <w:t>八</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val="en-US" w:eastAsia="zh-CN" w:bidi="ar"/>
        </w:rPr>
        <w:t>慈岳产业平台建国片区</w:t>
      </w:r>
      <w:r>
        <w:rPr>
          <w:rFonts w:ascii="Times New Roman" w:hAnsi="Times New Roman" w:eastAsia="仿宋_GB2312" w:cs="Times New Roman"/>
          <w:b w:val="0"/>
          <w:bCs w:val="0"/>
          <w:kern w:val="0"/>
          <w:sz w:val="31"/>
          <w:szCs w:val="31"/>
          <w:lang w:bidi="ar"/>
        </w:rPr>
        <w:t>）》符合土地征收成片开发的标准。</w:t>
      </w:r>
    </w:p>
    <w:p>
      <w:pPr>
        <w:jc w:val="center"/>
        <w:rPr>
          <w:rFonts w:hint="eastAsia" w:ascii="Times New Roman" w:hAnsi="Times New Roman" w:eastAsia="仿宋_GB2312" w:cs="Times New Roman"/>
          <w:b/>
          <w:bCs/>
          <w:kern w:val="0"/>
          <w:sz w:val="28"/>
          <w:szCs w:val="28"/>
          <w:lang w:eastAsia="zh-CN" w:bidi="ar"/>
        </w:rPr>
      </w:pPr>
      <w:bookmarkStart w:id="1" w:name="_GoBack"/>
      <w:r>
        <w:rPr>
          <w:rFonts w:hint="eastAsia" w:ascii="Times New Roman" w:hAnsi="Times New Roman" w:eastAsia="仿宋_GB2312" w:cs="Times New Roman"/>
          <w:b/>
          <w:bCs/>
          <w:kern w:val="0"/>
          <w:sz w:val="28"/>
          <w:szCs w:val="28"/>
          <w:lang w:eastAsia="zh-CN" w:bidi="ar"/>
        </w:rPr>
        <w:drawing>
          <wp:inline distT="0" distB="0" distL="114300" distR="114300">
            <wp:extent cx="6645275" cy="9144635"/>
            <wp:effectExtent l="0" t="0" r="3175" b="18415"/>
            <wp:docPr id="1" name="图片 1" descr="成片开发示意图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示意图387"/>
                    <pic:cNvPicPr>
                      <a:picLocks noChangeAspect="1"/>
                    </pic:cNvPicPr>
                  </pic:nvPicPr>
                  <pic:blipFill>
                    <a:blip r:embed="rId4"/>
                    <a:stretch>
                      <a:fillRect/>
                    </a:stretch>
                  </pic:blipFill>
                  <pic:spPr>
                    <a:xfrm>
                      <a:off x="0" y="0"/>
                      <a:ext cx="6645275" cy="9144635"/>
                    </a:xfrm>
                    <a:prstGeom prst="rect">
                      <a:avLst/>
                    </a:prstGeom>
                  </pic:spPr>
                </pic:pic>
              </a:graphicData>
            </a:graphic>
          </wp:inline>
        </w:drawing>
      </w:r>
      <w:bookmarkEnd w:id="1"/>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86"/>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1519E2"/>
    <w:multiLevelType w:val="singleLevel"/>
    <w:tmpl w:val="121519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147E698A"/>
    <w:rsid w:val="1CFA0A64"/>
    <w:rsid w:val="1F106CB2"/>
    <w:rsid w:val="230B219E"/>
    <w:rsid w:val="29FF5613"/>
    <w:rsid w:val="36BA63DD"/>
    <w:rsid w:val="36C66087"/>
    <w:rsid w:val="44A65161"/>
    <w:rsid w:val="470923BB"/>
    <w:rsid w:val="4D0E7126"/>
    <w:rsid w:val="57E7336B"/>
    <w:rsid w:val="59795C67"/>
    <w:rsid w:val="66CA6537"/>
    <w:rsid w:val="724B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新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0"/>
    <w:link w:val="9"/>
    <w:qFormat/>
    <w:uiPriority w:val="99"/>
    <w:rPr>
      <w:sz w:val="18"/>
      <w:szCs w:val="18"/>
    </w:rPr>
  </w:style>
  <w:style w:type="character" w:customStyle="1" w:styleId="13">
    <w:name w:val="页脚 Char"/>
    <w:basedOn w:val="10"/>
    <w:link w:val="8"/>
    <w:qFormat/>
    <w:uiPriority w:val="99"/>
    <w:rPr>
      <w:sz w:val="18"/>
      <w:szCs w:val="18"/>
    </w:rPr>
  </w:style>
  <w:style w:type="character" w:customStyle="1" w:styleId="14">
    <w:name w:val="标题 1 Char"/>
    <w:basedOn w:val="10"/>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0"/>
    <w:link w:val="6"/>
    <w:qFormat/>
    <w:uiPriority w:val="9"/>
    <w:rPr>
      <w:b/>
      <w:bCs/>
      <w:sz w:val="32"/>
      <w:szCs w:val="32"/>
    </w:rPr>
  </w:style>
  <w:style w:type="character" w:customStyle="1" w:styleId="17">
    <w:name w:val="批注框文本 Char"/>
    <w:basedOn w:val="10"/>
    <w:link w:val="7"/>
    <w:semiHidden/>
    <w:qFormat/>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 w:type="paragraph" w:customStyle="1" w:styleId="20">
    <w:name w:val="正文1"/>
    <w:basedOn w:val="1"/>
    <w:next w:val="21"/>
    <w:qFormat/>
    <w:uiPriority w:val="0"/>
    <w:pPr>
      <w:adjustRightInd w:val="0"/>
      <w:ind w:firstLine="482"/>
      <w:textAlignment w:val="baseline"/>
    </w:pPr>
    <w:rPr>
      <w:rFonts w:ascii="宋体" w:hAnsi="宋体"/>
      <w:color w:val="000000"/>
      <w:kern w:val="28"/>
      <w:sz w:val="24"/>
    </w:rPr>
  </w:style>
  <w:style w:type="paragraph" w:customStyle="1" w:styleId="21">
    <w:name w:val="正文首行缩进 21"/>
    <w:basedOn w:val="22"/>
    <w:qFormat/>
    <w:uiPriority w:val="0"/>
  </w:style>
  <w:style w:type="paragraph" w:customStyle="1" w:styleId="22">
    <w:name w:val="正文缩进1"/>
    <w:basedOn w:val="20"/>
    <w:qFormat/>
    <w:uiPriority w:val="0"/>
    <w:pPr>
      <w:spacing w:line="240" w:lineRule="auto"/>
    </w:pPr>
    <w:rPr>
      <w:rFonts w:eastAsia="宋体"/>
      <w:szCs w:val="24"/>
    </w:rPr>
  </w:style>
  <w:style w:type="paragraph" w:customStyle="1" w:styleId="23">
    <w:name w:val="标题 21"/>
    <w:basedOn w:val="20"/>
    <w:next w:val="20"/>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2659</Words>
  <Characters>2760</Characters>
  <Lines>15</Lines>
  <Paragraphs>4</Paragraphs>
  <TotalTime>18</TotalTime>
  <ScaleCrop>false</ScaleCrop>
  <LinksUpToDate>false</LinksUpToDate>
  <CharactersWithSpaces>2776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林琳娟</cp:lastModifiedBy>
  <cp:lastPrinted>2023-07-13T01:22:00Z</cp:lastPrinted>
  <dcterms:modified xsi:type="dcterms:W3CDTF">2023-07-14T09:34:58Z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1B3963F8F4B04221A14CCB01380816B3</vt:lpwstr>
  </property>
</Properties>
</file>