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kern w:val="0"/>
          <w:sz w:val="36"/>
          <w:szCs w:val="36"/>
          <w:lang w:bidi="ar"/>
        </w:rPr>
      </w:pPr>
      <w:r>
        <w:rPr>
          <w:rFonts w:ascii="Times New Roman" w:hAnsi="Times New Roman" w:eastAsia="宋体" w:cs="Times New Roman"/>
          <w:kern w:val="0"/>
          <w:sz w:val="36"/>
          <w:szCs w:val="36"/>
          <w:lang w:bidi="ar"/>
        </w:rPr>
        <w:t>附件</w:t>
      </w:r>
    </w:p>
    <w:p>
      <w:pPr>
        <w:pStyle w:val="5"/>
        <w:jc w:val="center"/>
        <w:rPr>
          <w:rFonts w:ascii="Times New Roman" w:hAnsi="Times New Roman" w:eastAsia="宋体" w:cs="Times New Roman"/>
        </w:rPr>
      </w:pPr>
      <w:r>
        <w:rPr>
          <w:rFonts w:ascii="Times New Roman" w:hAnsi="Times New Roman" w:eastAsia="宋体" w:cs="Times New Roman"/>
        </w:rPr>
        <w:t>仙游县202</w:t>
      </w:r>
      <w:r>
        <w:rPr>
          <w:rFonts w:hint="eastAsia" w:ascii="Times New Roman" w:hAnsi="Times New Roman" w:eastAsia="宋体" w:cs="Times New Roman"/>
          <w:lang w:val="en-US" w:eastAsia="zh-CN"/>
        </w:rPr>
        <w:t>3</w:t>
      </w:r>
      <w:r>
        <w:rPr>
          <w:rFonts w:ascii="Times New Roman" w:hAnsi="Times New Roman" w:eastAsia="宋体" w:cs="Times New Roman"/>
        </w:rPr>
        <w:t>年度第</w:t>
      </w:r>
      <w:r>
        <w:rPr>
          <w:rFonts w:hint="eastAsia" w:ascii="Times New Roman" w:hAnsi="Times New Roman" w:eastAsia="宋体" w:cs="Times New Roman"/>
          <w:lang w:eastAsia="zh-CN"/>
        </w:rPr>
        <w:t>十六</w:t>
      </w:r>
      <w:r>
        <w:rPr>
          <w:rFonts w:ascii="Times New Roman" w:hAnsi="Times New Roman" w:eastAsia="宋体" w:cs="Times New Roman"/>
        </w:rPr>
        <w:t>批次土地征收成片开发方案（</w:t>
      </w:r>
      <w:r>
        <w:rPr>
          <w:rFonts w:hint="eastAsia" w:ascii="Times New Roman" w:hAnsi="Times New Roman" w:eastAsia="宋体" w:cs="Times New Roman"/>
          <w:lang w:val="en-US" w:eastAsia="zh-CN"/>
        </w:rPr>
        <w:t>瑞峰产业园西片区</w:t>
      </w:r>
      <w:r>
        <w:rPr>
          <w:rFonts w:ascii="Times New Roman" w:hAnsi="Times New Roman" w:eastAsia="宋体" w:cs="Times New Roman"/>
        </w:rPr>
        <w:t>）</w:t>
      </w:r>
    </w:p>
    <w:p>
      <w:pPr>
        <w:pageBreakBefore w:val="0"/>
        <w:widowControl/>
        <w:tabs>
          <w:tab w:val="left" w:pos="2730"/>
        </w:tabs>
        <w:kinsoku/>
        <w:wordWrap/>
        <w:topLinePunct w:val="0"/>
        <w:autoSpaceDE/>
        <w:autoSpaceDN/>
        <w:bidi w:val="0"/>
        <w:spacing w:line="360" w:lineRule="exact"/>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一、编制依据</w:t>
      </w:r>
      <w:r>
        <w:rPr>
          <w:rFonts w:ascii="Times New Roman" w:hAnsi="Times New Roman" w:eastAsia="黑体" w:cs="Times New Roman"/>
          <w:kern w:val="0"/>
          <w:sz w:val="31"/>
          <w:szCs w:val="31"/>
          <w:lang w:bidi="ar"/>
        </w:rPr>
        <w:tab/>
      </w:r>
    </w:p>
    <w:p>
      <w:pPr>
        <w:pageBreakBefore w:val="0"/>
        <w:kinsoku/>
        <w:wordWrap/>
        <w:overflowPunct w:val="0"/>
        <w:topLinePunct w:val="0"/>
        <w:autoSpaceDE/>
        <w:autoSpaceDN/>
        <w:bidi w:val="0"/>
        <w:spacing w:line="36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依据《中华人民共和国土地管理法》（2019年修正</w:t>
      </w:r>
      <w:r>
        <w:rPr>
          <w:rFonts w:hint="eastAsia" w:ascii="Times New Roman" w:hAnsi="Times New Roman" w:eastAsia="仿宋_GB2312" w:cs="Times New Roman"/>
          <w:kern w:val="0"/>
          <w:sz w:val="31"/>
          <w:szCs w:val="31"/>
          <w:lang w:bidi="ar"/>
        </w:rPr>
        <w:t>版</w:t>
      </w:r>
      <w:r>
        <w:rPr>
          <w:rFonts w:ascii="Times New Roman" w:hAnsi="Times New Roman" w:eastAsia="仿宋_GB2312" w:cs="Times New Roman"/>
          <w:kern w:val="0"/>
          <w:sz w:val="31"/>
          <w:szCs w:val="31"/>
          <w:lang w:bidi="ar"/>
        </w:rPr>
        <w:t>）、《土地征收成片开发标准（试行）》、《国土空间调查、规划、用途管制用地用海分类指南》（试行）、《仙游县国民经济和社会发展第十四个五年规划和二</w:t>
      </w:r>
      <w:r>
        <w:rPr>
          <w:rFonts w:ascii="Times New Roman" w:hAnsi="Times New Roman" w:eastAsia="宋体" w:cs="Times New Roman"/>
          <w:kern w:val="0"/>
          <w:sz w:val="31"/>
          <w:szCs w:val="31"/>
          <w:lang w:bidi="ar"/>
        </w:rPr>
        <w:t>〇</w:t>
      </w:r>
      <w:r>
        <w:rPr>
          <w:rFonts w:ascii="Times New Roman" w:hAnsi="Times New Roman" w:eastAsia="仿宋_GB2312" w:cs="Times New Roman"/>
          <w:kern w:val="0"/>
          <w:sz w:val="31"/>
          <w:szCs w:val="31"/>
          <w:lang w:bidi="ar"/>
        </w:rPr>
        <w:t>三五年远景目标纲要》编制《仙游县202</w:t>
      </w:r>
      <w:r>
        <w:rPr>
          <w:rFonts w:hint="eastAsia" w:ascii="Times New Roman" w:hAnsi="Times New Roman" w:eastAsia="仿宋_GB2312" w:cs="Times New Roman"/>
          <w:kern w:val="0"/>
          <w:sz w:val="31"/>
          <w:szCs w:val="31"/>
          <w:lang w:val="en-US" w:eastAsia="zh-CN" w:bidi="ar"/>
        </w:rPr>
        <w:t>3</w:t>
      </w:r>
      <w:r>
        <w:rPr>
          <w:rFonts w:ascii="Times New Roman" w:hAnsi="Times New Roman" w:eastAsia="仿宋_GB2312" w:cs="Times New Roman"/>
          <w:kern w:val="0"/>
          <w:sz w:val="31"/>
          <w:szCs w:val="31"/>
          <w:lang w:bidi="ar"/>
        </w:rPr>
        <w:t>年度第</w:t>
      </w:r>
      <w:r>
        <w:rPr>
          <w:rFonts w:hint="eastAsia" w:ascii="Times New Roman" w:hAnsi="Times New Roman" w:eastAsia="仿宋_GB2312" w:cs="Times New Roman"/>
          <w:kern w:val="0"/>
          <w:sz w:val="31"/>
          <w:szCs w:val="31"/>
          <w:lang w:eastAsia="zh-CN" w:bidi="ar"/>
        </w:rPr>
        <w:t>八</w:t>
      </w:r>
      <w:r>
        <w:rPr>
          <w:rFonts w:ascii="Times New Roman" w:hAnsi="Times New Roman" w:eastAsia="仿宋_GB2312" w:cs="Times New Roman"/>
          <w:kern w:val="0"/>
          <w:sz w:val="31"/>
          <w:szCs w:val="31"/>
          <w:lang w:bidi="ar"/>
        </w:rPr>
        <w:t>批次土地征收成片开发方案（</w:t>
      </w:r>
      <w:r>
        <w:rPr>
          <w:rFonts w:hint="eastAsia" w:ascii="Times New Roman" w:hAnsi="Times New Roman" w:eastAsia="仿宋_GB2312" w:cs="Times New Roman"/>
          <w:kern w:val="0"/>
          <w:sz w:val="31"/>
          <w:szCs w:val="31"/>
          <w:lang w:val="en-US" w:eastAsia="zh-CN" w:bidi="ar"/>
        </w:rPr>
        <w:t>慈岳产业平台建国片区</w:t>
      </w:r>
      <w:r>
        <w:rPr>
          <w:rFonts w:ascii="Times New Roman" w:hAnsi="Times New Roman" w:eastAsia="仿宋_GB2312" w:cs="Times New Roman"/>
          <w:kern w:val="0"/>
          <w:sz w:val="31"/>
          <w:szCs w:val="31"/>
          <w:lang w:bidi="ar"/>
        </w:rPr>
        <w:t>）》。</w:t>
      </w:r>
    </w:p>
    <w:p>
      <w:pPr>
        <w:pageBreakBefore w:val="0"/>
        <w:widowControl/>
        <w:tabs>
          <w:tab w:val="left" w:pos="2730"/>
        </w:tabs>
        <w:kinsoku/>
        <w:wordWrap/>
        <w:topLinePunct w:val="0"/>
        <w:autoSpaceDE/>
        <w:autoSpaceDN/>
        <w:bidi w:val="0"/>
        <w:spacing w:line="360" w:lineRule="exact"/>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二、基本情况</w:t>
      </w:r>
    </w:p>
    <w:p>
      <w:pPr>
        <w:pageBreakBefore w:val="0"/>
        <w:kinsoku/>
        <w:wordWrap/>
        <w:overflowPunct w:val="0"/>
        <w:topLinePunct w:val="0"/>
        <w:autoSpaceDE/>
        <w:autoSpaceDN/>
        <w:bidi w:val="0"/>
        <w:spacing w:line="360" w:lineRule="exact"/>
        <w:ind w:firstLine="620" w:firstLineChars="200"/>
        <w:jc w:val="left"/>
        <w:rPr>
          <w:rFonts w:ascii="Times New Roman" w:hAnsi="Times New Roman" w:eastAsia="仿宋_GB2312" w:cs="Times New Roman"/>
          <w:kern w:val="0"/>
          <w:sz w:val="31"/>
          <w:szCs w:val="31"/>
          <w:lang w:bidi="ar"/>
        </w:rPr>
      </w:pPr>
      <w:r>
        <w:rPr>
          <w:rFonts w:ascii="Times New Roman" w:hAnsi="Times New Roman" w:eastAsia="仿宋_GB2312" w:cs="Times New Roman"/>
          <w:kern w:val="0"/>
          <w:sz w:val="31"/>
          <w:szCs w:val="31"/>
          <w:lang w:bidi="ar"/>
        </w:rPr>
        <w:t>本方案涉及仙游县</w:t>
      </w:r>
      <w:r>
        <w:rPr>
          <w:rFonts w:hint="eastAsia" w:ascii="Times New Roman" w:hAnsi="Times New Roman" w:eastAsia="仿宋_GB2312" w:cs="Times New Roman"/>
          <w:kern w:val="0"/>
          <w:sz w:val="31"/>
          <w:szCs w:val="31"/>
          <w:lang w:eastAsia="zh-CN" w:bidi="ar"/>
        </w:rPr>
        <w:t>鲤南镇涵井村、榜头镇后庄村、昆仑村</w:t>
      </w:r>
      <w:r>
        <w:rPr>
          <w:rFonts w:ascii="Times New Roman" w:hAnsi="Times New Roman" w:eastAsia="仿宋_GB2312" w:cs="Times New Roman"/>
          <w:kern w:val="0"/>
          <w:sz w:val="31"/>
          <w:szCs w:val="31"/>
          <w:lang w:bidi="ar"/>
        </w:rPr>
        <w:t>，共</w:t>
      </w:r>
      <w:r>
        <w:rPr>
          <w:rFonts w:hint="eastAsia" w:ascii="Times New Roman" w:hAnsi="Times New Roman" w:eastAsia="仿宋_GB2312" w:cs="Times New Roman"/>
          <w:kern w:val="0"/>
          <w:sz w:val="31"/>
          <w:szCs w:val="31"/>
          <w:lang w:val="en-US" w:eastAsia="zh-CN" w:bidi="ar"/>
        </w:rPr>
        <w:t>2</w:t>
      </w:r>
      <w:r>
        <w:rPr>
          <w:rFonts w:ascii="Times New Roman" w:hAnsi="Times New Roman" w:eastAsia="仿宋_GB2312" w:cs="Times New Roman"/>
          <w:kern w:val="0"/>
          <w:sz w:val="31"/>
          <w:szCs w:val="31"/>
          <w:lang w:bidi="ar"/>
        </w:rPr>
        <w:t>个镇</w:t>
      </w:r>
      <w:r>
        <w:rPr>
          <w:rFonts w:hint="eastAsia" w:ascii="Times New Roman" w:hAnsi="Times New Roman" w:eastAsia="仿宋_GB2312" w:cs="Times New Roman"/>
          <w:kern w:val="0"/>
          <w:sz w:val="31"/>
          <w:szCs w:val="31"/>
          <w:lang w:val="en-US" w:eastAsia="zh-CN" w:bidi="ar"/>
        </w:rPr>
        <w:t>3</w:t>
      </w:r>
      <w:r>
        <w:rPr>
          <w:rFonts w:ascii="Times New Roman" w:hAnsi="Times New Roman" w:eastAsia="仿宋_GB2312" w:cs="Times New Roman"/>
          <w:kern w:val="0"/>
          <w:sz w:val="31"/>
          <w:szCs w:val="31"/>
          <w:lang w:bidi="ar"/>
        </w:rPr>
        <w:t>个</w:t>
      </w:r>
      <w:r>
        <w:rPr>
          <w:rFonts w:hint="eastAsia" w:ascii="Times New Roman" w:hAnsi="Times New Roman" w:eastAsia="仿宋_GB2312" w:cs="Times New Roman"/>
          <w:kern w:val="0"/>
          <w:sz w:val="31"/>
          <w:szCs w:val="31"/>
          <w:lang w:eastAsia="zh-CN" w:bidi="ar"/>
        </w:rPr>
        <w:t>村</w:t>
      </w:r>
      <w:r>
        <w:rPr>
          <w:rFonts w:ascii="Times New Roman" w:hAnsi="Times New Roman" w:eastAsia="仿宋_GB2312" w:cs="Times New Roman"/>
          <w:kern w:val="0"/>
          <w:sz w:val="31"/>
          <w:szCs w:val="31"/>
          <w:lang w:bidi="ar"/>
        </w:rPr>
        <w:t>；涉及1个国有单位，不涉及省级和国家级开发区。</w:t>
      </w:r>
    </w:p>
    <w:p>
      <w:pPr>
        <w:pStyle w:val="20"/>
        <w:pageBreakBefore w:val="0"/>
        <w:kinsoku/>
        <w:wordWrap/>
        <w:topLinePunct w:val="0"/>
        <w:autoSpaceDE/>
        <w:autoSpaceDN/>
        <w:bidi w:val="0"/>
        <w:spacing w:line="360" w:lineRule="exact"/>
        <w:ind w:firstLine="620" w:firstLineChars="200"/>
        <w:jc w:val="left"/>
        <w:rPr>
          <w:rFonts w:ascii="Times New Roman" w:hAnsi="Times New Roman" w:eastAsia="仿宋_GB2312" w:cs="Times New Roman"/>
          <w:kern w:val="0"/>
          <w:sz w:val="31"/>
          <w:szCs w:val="31"/>
          <w:lang w:val="en-US" w:eastAsia="zh-CN" w:bidi="ar"/>
        </w:rPr>
      </w:pPr>
      <w:r>
        <w:rPr>
          <w:rFonts w:hint="eastAsia" w:ascii="Times New Roman" w:hAnsi="Times New Roman" w:eastAsia="仿宋_GB2312" w:cs="Times New Roman"/>
          <w:kern w:val="0"/>
          <w:sz w:val="31"/>
          <w:szCs w:val="31"/>
          <w:lang w:val="en-US" w:eastAsia="zh-CN" w:bidi="ar"/>
        </w:rPr>
        <w:t>本成片开发方案范围总面积38.0628公顷，其中：农用地23.1940公顷（其中：耕地0.9370公顷），建设用地14.8688公顷，不涉及未利用地。</w:t>
      </w:r>
    </w:p>
    <w:p>
      <w:pPr>
        <w:pageBreakBefore w:val="0"/>
        <w:widowControl/>
        <w:numPr>
          <w:ilvl w:val="0"/>
          <w:numId w:val="2"/>
        </w:numPr>
        <w:tabs>
          <w:tab w:val="left" w:pos="2730"/>
        </w:tabs>
        <w:kinsoku/>
        <w:wordWrap/>
        <w:topLinePunct w:val="0"/>
        <w:autoSpaceDE/>
        <w:autoSpaceDN/>
        <w:bidi w:val="0"/>
        <w:spacing w:line="360" w:lineRule="exact"/>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项目的必要性</w:t>
      </w:r>
    </w:p>
    <w:p>
      <w:pPr>
        <w:pStyle w:val="23"/>
        <w:pageBreakBefore w:val="0"/>
        <w:kinsoku/>
        <w:wordWrap/>
        <w:topLinePunct w:val="0"/>
        <w:autoSpaceDE/>
        <w:autoSpaceDN/>
        <w:bidi w:val="0"/>
        <w:spacing w:before="156" w:beforeLines="50" w:after="156" w:afterLines="50" w:line="360" w:lineRule="exact"/>
        <w:ind w:firstLine="602" w:firstLineChars="200"/>
        <w:rPr>
          <w:rFonts w:ascii="仿宋" w:hAnsi="仿宋" w:eastAsia="仿宋" w:cs="仿宋"/>
          <w:color w:val="000000"/>
          <w:kern w:val="0"/>
          <w:sz w:val="30"/>
          <w:szCs w:val="30"/>
        </w:rPr>
      </w:pPr>
      <w:bookmarkStart w:id="0" w:name="_Toc26871"/>
      <w:r>
        <w:rPr>
          <w:rFonts w:hint="eastAsia" w:ascii="仿宋" w:hAnsi="仿宋" w:eastAsia="仿宋" w:cs="仿宋"/>
          <w:color w:val="000000"/>
          <w:kern w:val="0"/>
          <w:sz w:val="30"/>
          <w:szCs w:val="30"/>
        </w:rPr>
        <w:t>(一)必要性分析</w:t>
      </w:r>
      <w:bookmarkEnd w:id="0"/>
    </w:p>
    <w:p>
      <w:pPr>
        <w:pStyle w:val="20"/>
        <w:keepNext/>
        <w:keepLines/>
        <w:pageBreakBefore w:val="0"/>
        <w:kinsoku/>
        <w:wordWrap/>
        <w:topLinePunct w:val="0"/>
        <w:autoSpaceDE/>
        <w:autoSpaceDN/>
        <w:bidi w:val="0"/>
        <w:spacing w:before="156" w:beforeLines="50" w:after="156" w:afterLines="50" w:line="360" w:lineRule="exact"/>
        <w:ind w:firstLine="600" w:firstLineChars="200"/>
        <w:rPr>
          <w:rFonts w:ascii="仿宋" w:hAnsi="仿宋" w:eastAsia="仿宋" w:cs="仿宋"/>
          <w:kern w:val="0"/>
          <w:sz w:val="30"/>
          <w:szCs w:val="30"/>
        </w:rPr>
      </w:pPr>
      <w:bookmarkStart w:id="1" w:name="_Toc6170"/>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、符合仙游县招商引资的实际需求，有助于</w:t>
      </w:r>
      <w:r>
        <w:rPr>
          <w:rFonts w:hint="eastAsia" w:ascii="仿宋" w:hAnsi="仿宋" w:eastAsia="仿宋" w:cs="仿宋"/>
          <w:kern w:val="0"/>
          <w:sz w:val="30"/>
          <w:szCs w:val="30"/>
          <w:lang w:val="en-US" w:eastAsia="zh-CN"/>
        </w:rPr>
        <w:t>推进</w:t>
      </w:r>
      <w:r>
        <w:rPr>
          <w:rFonts w:hint="eastAsia" w:ascii="仿宋" w:hAnsi="仿宋" w:eastAsia="仿宋" w:cs="仿宋"/>
          <w:kern w:val="0"/>
          <w:sz w:val="30"/>
          <w:szCs w:val="30"/>
        </w:rPr>
        <w:t>产城融合。</w:t>
      </w:r>
    </w:p>
    <w:p>
      <w:pPr>
        <w:pStyle w:val="20"/>
        <w:pageBreakBefore w:val="0"/>
        <w:kinsoku/>
        <w:wordWrap/>
        <w:topLinePunct w:val="0"/>
        <w:autoSpaceDE/>
        <w:autoSpaceDN/>
        <w:bidi w:val="0"/>
        <w:spacing w:line="360" w:lineRule="exact"/>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瑞峰产业园是集产业生产、科技研发、居住配套、生态休闲等功能为一体的产城融合示范区。本片区重点发展电子元器件等产业，与仙游县其他片区的发展定位既有差异化又有协同化。本项目实施建设，可以进一步完善区域产业链和配套服务，加强组团内部的生活及生产服务业的合理配套，同时也可以增强片区之间的联系，降低企业的生产成本，促进产城融合发展。能够实现城市土地集约化，提升土地价值，扩大产业空间，加速产业聚集。</w:t>
      </w:r>
    </w:p>
    <w:p>
      <w:pPr>
        <w:pStyle w:val="20"/>
        <w:keepNext/>
        <w:keepLines/>
        <w:pageBreakBefore w:val="0"/>
        <w:kinsoku/>
        <w:wordWrap/>
        <w:topLinePunct w:val="0"/>
        <w:autoSpaceDE/>
        <w:autoSpaceDN/>
        <w:bidi w:val="0"/>
        <w:spacing w:before="156" w:beforeLines="50" w:after="156" w:afterLines="50"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w:t>
      </w:r>
      <w:r>
        <w:rPr>
          <w:rFonts w:hint="eastAsia" w:ascii="仿宋" w:hAnsi="仿宋" w:eastAsia="仿宋" w:cs="仿宋"/>
          <w:sz w:val="30"/>
          <w:szCs w:val="30"/>
        </w:rPr>
        <w:t>以电子核心基础产业为主导，积极建设精密仪器产业集群，不断提升</w:t>
      </w:r>
      <w:r>
        <w:rPr>
          <w:rFonts w:hint="eastAsia" w:ascii="仿宋" w:hAnsi="仿宋" w:eastAsia="仿宋" w:cs="仿宋"/>
          <w:sz w:val="30"/>
          <w:szCs w:val="30"/>
          <w:lang w:val="en-US" w:eastAsia="zh-CN"/>
        </w:rPr>
        <w:t>片区</w:t>
      </w:r>
      <w:r>
        <w:rPr>
          <w:rFonts w:hint="eastAsia" w:ascii="仿宋" w:hAnsi="仿宋" w:eastAsia="仿宋" w:cs="仿宋"/>
          <w:sz w:val="30"/>
          <w:szCs w:val="30"/>
        </w:rPr>
        <w:t>产业竞争力。</w:t>
      </w:r>
    </w:p>
    <w:p>
      <w:pPr>
        <w:pStyle w:val="20"/>
        <w:pageBreakBefore w:val="0"/>
        <w:kinsoku/>
        <w:wordWrap/>
        <w:topLinePunct w:val="0"/>
        <w:autoSpaceDE/>
        <w:autoSpaceDN/>
        <w:bidi w:val="0"/>
        <w:spacing w:line="3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精密仪器广泛应用于科研、国防、工业制造及人民生活等领域，其研发与制造能力是国家高新技术发展水平的重要标志。先进制造技术，特别是未来的智能制造技术必须有大量精密测量仪器与装备作为支撑。随着我国科技进步和新兴产业的发展，我国科研仪器市场潜力巨大，科研仪器需求十分旺盛，已经成为世界仪器增长的强劲动力。精密仪器作为电子信息产业的上游产业，能以市场为导向，不断吸引上下游产业的企业往长泰集聚，提升产业竞争力。</w:t>
      </w:r>
    </w:p>
    <w:p>
      <w:pPr>
        <w:pStyle w:val="20"/>
        <w:pageBreakBefore w:val="0"/>
        <w:kinsoku/>
        <w:wordWrap/>
        <w:topLinePunct w:val="0"/>
        <w:autoSpaceDE/>
        <w:autoSpaceDN/>
        <w:bidi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sz w:val="30"/>
          <w:szCs w:val="30"/>
        </w:rPr>
        <w:t xml:space="preserve"> </w:t>
      </w:r>
      <w:r>
        <w:rPr>
          <w:rFonts w:hint="eastAsia" w:ascii="仿宋" w:hAnsi="仿宋" w:eastAsia="仿宋" w:cs="仿宋"/>
          <w:kern w:val="0"/>
          <w:sz w:val="30"/>
          <w:szCs w:val="30"/>
        </w:rPr>
        <w:t>3、</w:t>
      </w:r>
      <w:r>
        <w:rPr>
          <w:rFonts w:hint="eastAsia" w:ascii="仿宋" w:hAnsi="仿宋" w:eastAsia="仿宋" w:cs="仿宋"/>
          <w:sz w:val="30"/>
          <w:szCs w:val="30"/>
        </w:rPr>
        <w:t>符合国家高质量发展战略规划，助推电子信息产业高质量发展。</w:t>
      </w:r>
    </w:p>
    <w:p>
      <w:pPr>
        <w:pStyle w:val="20"/>
        <w:pageBreakBefore w:val="0"/>
        <w:kinsoku/>
        <w:wordWrap/>
        <w:topLinePunct w:val="0"/>
        <w:autoSpaceDE/>
        <w:autoSpaceDN/>
        <w:bidi w:val="0"/>
        <w:spacing w:line="3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kern w:val="0"/>
          <w:sz w:val="30"/>
          <w:szCs w:val="30"/>
        </w:rPr>
        <w:t>电子信息产业作为高新技术产业领域最具发展活力的新兴产业之一，是新一轮科技革命和产业变革的核心驱动，是拉动区域经济发展的强劲引擎。各级政府与企业要抢抓发展机遇，锁定行业前沿领域，持续加大科技创新和产品研发投入，努力突破关键核心技术，瞄准高端高质推进产品迭代升级，加强质量管理和知识产权保护，延伸产业链条，扩大市场份额，不断增强核心竞争力。符合新发展格局下电子信息产业发展的需求。因此，本项目属于国家支持的政策方向，符合国家发展战略规划，为我区经济社会发展开辟出了新的赛道，推动电子信息产业实现高质量发展</w:t>
      </w:r>
      <w:r>
        <w:rPr>
          <w:rFonts w:hint="eastAsia" w:ascii="仿宋" w:hAnsi="仿宋" w:eastAsia="仿宋" w:cs="仿宋"/>
          <w:color w:val="000000"/>
          <w:kern w:val="0"/>
          <w:sz w:val="30"/>
          <w:szCs w:val="30"/>
        </w:rPr>
        <w:t>。</w:t>
      </w:r>
    </w:p>
    <w:p>
      <w:pPr>
        <w:pStyle w:val="23"/>
        <w:pageBreakBefore w:val="0"/>
        <w:kinsoku/>
        <w:wordWrap/>
        <w:topLinePunct w:val="0"/>
        <w:autoSpaceDE/>
        <w:autoSpaceDN/>
        <w:bidi w:val="0"/>
        <w:spacing w:before="156" w:beforeLines="50" w:after="156" w:afterLines="50" w:line="360" w:lineRule="exact"/>
        <w:ind w:firstLine="602"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(二)科学合理性分析</w:t>
      </w:r>
      <w:bookmarkEnd w:id="1"/>
    </w:p>
    <w:p>
      <w:pPr>
        <w:pStyle w:val="20"/>
        <w:pageBreakBefore w:val="0"/>
        <w:kinsoku/>
        <w:wordWrap/>
        <w:topLinePunct w:val="0"/>
        <w:autoSpaceDE/>
        <w:autoSpaceDN/>
        <w:bidi w:val="0"/>
        <w:spacing w:line="36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 xml:space="preserve">1.选址科学合理 </w:t>
      </w:r>
    </w:p>
    <w:p>
      <w:pPr>
        <w:pStyle w:val="20"/>
        <w:pageBreakBefore w:val="0"/>
        <w:kinsoku/>
        <w:wordWrap/>
        <w:topLinePunct w:val="0"/>
        <w:autoSpaceDE/>
        <w:autoSpaceDN/>
        <w:bidi w:val="0"/>
        <w:spacing w:line="36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瑞峰片区涉及的榜头镇和盖尾镇是仙游城县域空间结构“一脊、一环、三心、三片”中重要节点，该片区是仙游县“强产业、兴城市”三年行动计划暨十四五规划重点改造区域。仙游县中心城区与瑞峰片区毗邻，仙港大道从项目南侧穿过，项目区位交通条件优越，可以与城区产生良好互动，形成产业集群及规模效应。仙游县十四五规划提出瑞峰片区发展新一代电子信息产业，打造电子信息高新技术产业园，本片区落地项目以电子元器件生产项目为主，符合该片区的功能定位。此外，方案内未占用永久基本农田保护区、生态保护红线及其他各类保护区，不涉及河道蓝线。</w:t>
      </w:r>
    </w:p>
    <w:p>
      <w:pPr>
        <w:pStyle w:val="20"/>
        <w:pageBreakBefore w:val="0"/>
        <w:kinsoku/>
        <w:wordWrap/>
        <w:topLinePunct w:val="0"/>
        <w:autoSpaceDE/>
        <w:autoSpaceDN/>
        <w:bidi w:val="0"/>
        <w:spacing w:line="36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2.功能定位科学合理</w:t>
      </w:r>
    </w:p>
    <w:p>
      <w:pPr>
        <w:pStyle w:val="20"/>
        <w:pageBreakBefore w:val="0"/>
        <w:kinsoku/>
        <w:wordWrap/>
        <w:topLinePunct w:val="0"/>
        <w:autoSpaceDE/>
        <w:autoSpaceDN/>
        <w:bidi w:val="0"/>
        <w:spacing w:line="360" w:lineRule="exact"/>
        <w:ind w:firstLine="600" w:firstLineChars="200"/>
        <w:jc w:val="left"/>
        <w:rPr>
          <w:rFonts w:ascii="仿宋" w:hAnsi="仿宋" w:eastAsia="仿宋" w:cs="仿宋"/>
          <w:sz w:val="30"/>
          <w:szCs w:val="30"/>
        </w:rPr>
      </w:pPr>
      <w:r>
        <w:rPr>
          <w:rFonts w:hint="eastAsia" w:ascii="仿宋" w:hAnsi="仿宋" w:eastAsia="仿宋" w:cs="仿宋"/>
          <w:color w:val="000000"/>
          <w:sz w:val="30"/>
          <w:szCs w:val="30"/>
        </w:rPr>
        <w:t>本次成片开发方案以《</w:t>
      </w:r>
      <w:r>
        <w:rPr>
          <w:rFonts w:hint="eastAsia" w:ascii="仿宋" w:hAnsi="仿宋" w:eastAsia="仿宋" w:cs="仿宋"/>
          <w:color w:val="000000"/>
          <w:kern w:val="0"/>
          <w:sz w:val="30"/>
          <w:szCs w:val="30"/>
        </w:rPr>
        <w:t>仙游县瑞峰片区控制性详细规划</w:t>
      </w:r>
      <w:r>
        <w:rPr>
          <w:rFonts w:hint="eastAsia" w:ascii="仿宋" w:hAnsi="仿宋" w:eastAsia="仿宋" w:cs="仿宋"/>
          <w:color w:val="000000"/>
          <w:sz w:val="30"/>
          <w:szCs w:val="30"/>
        </w:rPr>
        <w:t>》为基础，结合当地相关部门用地需求，以促进产业发展、划定本次成片开发范围。本方案充分衔接相关控制详细规划等，定位与产业专项策划研究成果，依托交通区位优势建设</w:t>
      </w:r>
      <w:r>
        <w:rPr>
          <w:rFonts w:hint="eastAsia" w:ascii="仿宋" w:hAnsi="仿宋" w:eastAsia="仿宋" w:cs="仿宋"/>
          <w:kern w:val="0"/>
          <w:sz w:val="30"/>
          <w:szCs w:val="30"/>
        </w:rPr>
        <w:t>电子信息产业</w:t>
      </w:r>
      <w:r>
        <w:rPr>
          <w:rFonts w:hint="eastAsia" w:ascii="仿宋" w:hAnsi="仿宋" w:eastAsia="仿宋" w:cs="仿宋"/>
          <w:color w:val="000000"/>
          <w:sz w:val="30"/>
          <w:szCs w:val="30"/>
        </w:rPr>
        <w:t>标准化厂房，规划以工业用地为主，增加绿地与开敞空间用地，完善公共基础设施功能，功能定位科学合理。</w:t>
      </w:r>
    </w:p>
    <w:p>
      <w:pPr>
        <w:pageBreakBefore w:val="0"/>
        <w:widowControl/>
        <w:tabs>
          <w:tab w:val="left" w:pos="2730"/>
        </w:tabs>
        <w:kinsoku/>
        <w:wordWrap/>
        <w:topLinePunct w:val="0"/>
        <w:autoSpaceDE/>
        <w:autoSpaceDN/>
        <w:bidi w:val="0"/>
        <w:spacing w:line="360" w:lineRule="exact"/>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四、规划土地用途及实现功能分析</w:t>
      </w:r>
    </w:p>
    <w:p>
      <w:pPr>
        <w:pStyle w:val="20"/>
        <w:pageBreakBefore w:val="0"/>
        <w:kinsoku/>
        <w:wordWrap/>
        <w:topLinePunct w:val="0"/>
        <w:autoSpaceDE/>
        <w:autoSpaceDN/>
        <w:bidi w:val="0"/>
        <w:spacing w:line="360" w:lineRule="exact"/>
        <w:ind w:firstLine="600" w:firstLineChars="200"/>
        <w:jc w:val="left"/>
        <w:rPr>
          <w:rFonts w:ascii="仿宋" w:hAnsi="仿宋" w:eastAsia="仿宋" w:cs="仿宋"/>
          <w:sz w:val="30"/>
          <w:szCs w:val="30"/>
        </w:rPr>
      </w:pPr>
      <w:r>
        <w:rPr>
          <w:rFonts w:hint="eastAsia" w:ascii="仿宋" w:hAnsi="仿宋" w:eastAsia="仿宋" w:cs="仿宋"/>
          <w:kern w:val="0"/>
          <w:sz w:val="30"/>
          <w:szCs w:val="30"/>
        </w:rPr>
        <w:t>本方案用地总面积</w:t>
      </w:r>
      <w:r>
        <w:rPr>
          <w:rFonts w:hint="eastAsia" w:ascii="仿宋" w:hAnsi="仿宋" w:eastAsia="仿宋" w:cs="仿宋"/>
          <w:kern w:val="0"/>
          <w:sz w:val="30"/>
          <w:szCs w:val="30"/>
          <w:lang w:val="en-US" w:eastAsia="zh-CN"/>
        </w:rPr>
        <w:t>38.0628</w:t>
      </w:r>
      <w:r>
        <w:rPr>
          <w:rFonts w:hint="eastAsia" w:ascii="仿宋" w:hAnsi="仿宋" w:eastAsia="仿宋" w:cs="仿宋"/>
          <w:kern w:val="0"/>
          <w:sz w:val="30"/>
          <w:szCs w:val="30"/>
        </w:rPr>
        <w:t>公顷，主要用途为工业用地。其中：工业用地</w:t>
      </w:r>
      <w:r>
        <w:rPr>
          <w:rFonts w:hint="eastAsia" w:ascii="仿宋" w:hAnsi="仿宋" w:eastAsia="仿宋" w:cs="仿宋"/>
          <w:kern w:val="0"/>
          <w:sz w:val="30"/>
          <w:szCs w:val="30"/>
          <w:lang w:val="en-US" w:eastAsia="zh-CN"/>
        </w:rPr>
        <w:t>22.8143</w:t>
      </w:r>
      <w:r>
        <w:rPr>
          <w:rFonts w:hint="eastAsia" w:ascii="仿宋" w:hAnsi="仿宋" w:eastAsia="仿宋" w:cs="仿宋"/>
          <w:kern w:val="0"/>
          <w:sz w:val="30"/>
          <w:szCs w:val="30"/>
        </w:rPr>
        <w:t>公顷，主要用于电子信息产业标准化厂房建设；城镇道路用地</w:t>
      </w:r>
      <w:r>
        <w:rPr>
          <w:rFonts w:hint="eastAsia" w:ascii="仿宋" w:hAnsi="仿宋" w:eastAsia="仿宋" w:cs="仿宋"/>
          <w:kern w:val="0"/>
          <w:sz w:val="30"/>
          <w:szCs w:val="30"/>
          <w:lang w:val="en-US" w:eastAsia="zh-CN"/>
        </w:rPr>
        <w:t>3.7103</w:t>
      </w:r>
      <w:r>
        <w:rPr>
          <w:rFonts w:hint="eastAsia" w:ascii="仿宋" w:hAnsi="仿宋" w:eastAsia="仿宋" w:cs="仿宋"/>
          <w:kern w:val="0"/>
          <w:sz w:val="30"/>
          <w:szCs w:val="30"/>
        </w:rPr>
        <w:t>公顷，修建园区道路实现交通路网畅通的功能；文化用地0.</w:t>
      </w:r>
      <w:r>
        <w:rPr>
          <w:rFonts w:hint="eastAsia" w:ascii="仿宋" w:hAnsi="仿宋" w:eastAsia="仿宋" w:cs="仿宋"/>
          <w:kern w:val="0"/>
          <w:sz w:val="30"/>
          <w:szCs w:val="30"/>
          <w:lang w:val="en-US" w:eastAsia="zh-CN"/>
        </w:rPr>
        <w:t>5673</w:t>
      </w:r>
      <w:r>
        <w:rPr>
          <w:rFonts w:hint="eastAsia" w:ascii="仿宋" w:hAnsi="仿宋" w:eastAsia="仿宋" w:cs="仿宋"/>
          <w:kern w:val="0"/>
          <w:sz w:val="30"/>
          <w:szCs w:val="30"/>
        </w:rPr>
        <w:t>公顷，用于综合文化活动中心</w:t>
      </w:r>
      <w:r>
        <w:rPr>
          <w:rFonts w:hint="eastAsia" w:ascii="仿宋" w:hAnsi="仿宋" w:eastAsia="仿宋" w:cs="仿宋"/>
          <w:kern w:val="0"/>
          <w:sz w:val="30"/>
          <w:szCs w:val="30"/>
          <w:lang w:val="en-US" w:eastAsia="zh-CN"/>
        </w:rPr>
        <w:t>建设</w:t>
      </w:r>
      <w:r>
        <w:rPr>
          <w:rFonts w:hint="eastAsia" w:ascii="仿宋" w:hAnsi="仿宋" w:eastAsia="仿宋" w:cs="仿宋"/>
          <w:kern w:val="0"/>
          <w:sz w:val="30"/>
          <w:szCs w:val="30"/>
        </w:rPr>
        <w:t>；防护绿地</w:t>
      </w:r>
      <w:r>
        <w:rPr>
          <w:rFonts w:hint="eastAsia" w:ascii="仿宋" w:hAnsi="仿宋" w:eastAsia="仿宋" w:cs="仿宋"/>
          <w:kern w:val="0"/>
          <w:sz w:val="30"/>
          <w:szCs w:val="30"/>
          <w:lang w:val="en-US" w:eastAsia="zh-CN"/>
        </w:rPr>
        <w:t>10.9709</w:t>
      </w:r>
      <w:r>
        <w:rPr>
          <w:rFonts w:hint="eastAsia" w:ascii="仿宋" w:hAnsi="仿宋" w:eastAsia="仿宋" w:cs="仿宋"/>
          <w:kern w:val="0"/>
          <w:sz w:val="30"/>
          <w:szCs w:val="30"/>
        </w:rPr>
        <w:t>公顷，用于绿化安全隔离</w:t>
      </w:r>
      <w:r>
        <w:rPr>
          <w:rFonts w:hint="eastAsia" w:ascii="仿宋" w:hAnsi="仿宋" w:eastAsia="仿宋" w:cs="仿宋"/>
          <w:kern w:val="0"/>
          <w:sz w:val="30"/>
          <w:szCs w:val="30"/>
          <w:lang w:val="en-US" w:eastAsia="zh-CN"/>
        </w:rPr>
        <w:t>及护坡挡墙建设</w:t>
      </w:r>
      <w:r>
        <w:rPr>
          <w:rFonts w:hint="eastAsia" w:ascii="仿宋" w:hAnsi="仿宋" w:eastAsia="仿宋" w:cs="仿宋"/>
          <w:kern w:val="0"/>
          <w:sz w:val="30"/>
          <w:szCs w:val="30"/>
        </w:rPr>
        <w:t>。</w:t>
      </w:r>
    </w:p>
    <w:p>
      <w:pPr>
        <w:pageBreakBefore w:val="0"/>
        <w:widowControl/>
        <w:tabs>
          <w:tab w:val="left" w:pos="2730"/>
        </w:tabs>
        <w:kinsoku/>
        <w:wordWrap/>
        <w:topLinePunct w:val="0"/>
        <w:autoSpaceDE/>
        <w:autoSpaceDN/>
        <w:bidi w:val="0"/>
        <w:spacing w:line="360" w:lineRule="exact"/>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五、公益性用地情况</w:t>
      </w:r>
    </w:p>
    <w:p>
      <w:pPr>
        <w:pageBreakBefore w:val="0"/>
        <w:widowControl/>
        <w:tabs>
          <w:tab w:val="left" w:pos="2730"/>
        </w:tabs>
        <w:kinsoku/>
        <w:wordWrap/>
        <w:topLinePunct w:val="0"/>
        <w:autoSpaceDE/>
        <w:autoSpaceDN/>
        <w:bidi w:val="0"/>
        <w:spacing w:line="360" w:lineRule="exact"/>
        <w:ind w:firstLine="600" w:firstLineChars="200"/>
        <w:jc w:val="left"/>
        <w:outlineLvl w:val="1"/>
        <w:rPr>
          <w:rFonts w:hint="eastAsia" w:ascii="仿宋" w:hAnsi="仿宋" w:eastAsia="仿宋" w:cs="仿宋"/>
          <w:kern w:val="0"/>
          <w:sz w:val="30"/>
          <w:szCs w:val="30"/>
        </w:rPr>
      </w:pPr>
      <w:r>
        <w:rPr>
          <w:rFonts w:hint="eastAsia" w:ascii="仿宋" w:hAnsi="仿宋" w:eastAsia="仿宋" w:cs="仿宋"/>
          <w:kern w:val="0"/>
          <w:sz w:val="30"/>
          <w:szCs w:val="30"/>
        </w:rPr>
        <w:t>公益性用地包含城镇道路用地、文化用地、防护绿地、防护绿地，合计</w:t>
      </w:r>
      <w:r>
        <w:rPr>
          <w:rFonts w:hint="eastAsia" w:ascii="仿宋" w:hAnsi="仿宋" w:eastAsia="仿宋" w:cs="仿宋"/>
          <w:kern w:val="0"/>
          <w:sz w:val="30"/>
          <w:szCs w:val="30"/>
          <w:lang w:val="en-US" w:eastAsia="zh-CN"/>
        </w:rPr>
        <w:t>15.2485</w:t>
      </w:r>
      <w:r>
        <w:rPr>
          <w:rFonts w:hint="eastAsia" w:ascii="仿宋" w:hAnsi="仿宋" w:eastAsia="仿宋" w:cs="仿宋"/>
          <w:kern w:val="0"/>
          <w:sz w:val="30"/>
          <w:szCs w:val="30"/>
        </w:rPr>
        <w:t>公顷，占用地总面积的40.</w:t>
      </w:r>
      <w:r>
        <w:rPr>
          <w:rFonts w:hint="eastAsia" w:ascii="仿宋" w:hAnsi="仿宋" w:eastAsia="仿宋" w:cs="仿宋"/>
          <w:kern w:val="0"/>
          <w:sz w:val="30"/>
          <w:szCs w:val="30"/>
          <w:lang w:val="en-US" w:eastAsia="zh-CN"/>
        </w:rPr>
        <w:t>0</w:t>
      </w:r>
      <w:r>
        <w:rPr>
          <w:rFonts w:ascii="仿宋" w:hAnsi="仿宋" w:eastAsia="仿宋" w:cs="仿宋"/>
          <w:kern w:val="0"/>
          <w:sz w:val="30"/>
          <w:szCs w:val="30"/>
        </w:rPr>
        <w:t>6</w:t>
      </w:r>
      <w:r>
        <w:rPr>
          <w:rFonts w:hint="eastAsia" w:ascii="仿宋" w:hAnsi="仿宋" w:eastAsia="仿宋" w:cs="仿宋"/>
          <w:kern w:val="0"/>
          <w:sz w:val="30"/>
          <w:szCs w:val="30"/>
        </w:rPr>
        <w:t>%，符合自然资规〔2020〕5号文规定。</w:t>
      </w:r>
    </w:p>
    <w:p>
      <w:pPr>
        <w:pageBreakBefore w:val="0"/>
        <w:widowControl/>
        <w:tabs>
          <w:tab w:val="left" w:pos="2730"/>
        </w:tabs>
        <w:kinsoku/>
        <w:wordWrap/>
        <w:topLinePunct w:val="0"/>
        <w:autoSpaceDE/>
        <w:autoSpaceDN/>
        <w:bidi w:val="0"/>
        <w:spacing w:line="360" w:lineRule="exact"/>
        <w:jc w:val="left"/>
        <w:outlineLvl w:val="1"/>
        <w:rPr>
          <w:rFonts w:ascii="Times New Roman" w:hAnsi="Times New Roman" w:eastAsia="黑体" w:cs="Times New Roman"/>
          <w:kern w:val="0"/>
          <w:sz w:val="31"/>
          <w:szCs w:val="31"/>
          <w:lang w:bidi="ar"/>
        </w:rPr>
      </w:pPr>
      <w:r>
        <w:rPr>
          <w:rFonts w:ascii="Times New Roman" w:hAnsi="Times New Roman" w:eastAsia="黑体" w:cs="Times New Roman"/>
          <w:kern w:val="0"/>
          <w:sz w:val="31"/>
          <w:szCs w:val="31"/>
          <w:lang w:bidi="ar"/>
        </w:rPr>
        <w:t>六、规划符合情况</w:t>
      </w:r>
    </w:p>
    <w:p>
      <w:pPr>
        <w:pageBreakBefore w:val="0"/>
        <w:kinsoku/>
        <w:wordWrap/>
        <w:topLinePunct w:val="0"/>
        <w:autoSpaceDE/>
        <w:autoSpaceDN/>
        <w:bidi w:val="0"/>
        <w:adjustRightInd w:val="0"/>
        <w:snapToGrid w:val="0"/>
        <w:spacing w:line="360" w:lineRule="exact"/>
        <w:ind w:firstLine="620" w:firstLineChars="200"/>
        <w:rPr>
          <w:rFonts w:ascii="Times New Roman" w:hAnsi="Times New Roman" w:eastAsia="仿宋_GB2312" w:cs="Times New Roman"/>
          <w:sz w:val="32"/>
          <w:szCs w:val="32"/>
        </w:rPr>
      </w:pPr>
      <w:r>
        <w:rPr>
          <w:rFonts w:ascii="Times New Roman" w:hAnsi="Times New Roman" w:eastAsia="仿宋_GB2312" w:cs="Times New Roman"/>
          <w:kern w:val="0"/>
          <w:sz w:val="31"/>
          <w:szCs w:val="31"/>
          <w:lang w:bidi="ar"/>
        </w:rPr>
        <w:t>本方案符合国民经济和社会发展规划的发展定位、要求，有利于完成规划目标、任务，已纳入国民经济和社会发展年度计划。</w:t>
      </w:r>
      <w:r>
        <w:rPr>
          <w:rFonts w:ascii="Times New Roman" w:hAnsi="Times New Roman" w:eastAsia="仿宋_GB2312" w:cs="Times New Roman"/>
          <w:sz w:val="32"/>
          <w:szCs w:val="32"/>
        </w:rPr>
        <w:t>本方案已纳入最新上报的城镇开发边界的集中建设区内，仙游县人民政府承诺，将土地征收成片开发范围纳入过渡期城镇开发边界及国土空间规划确定的城镇开发边界内的集中建设区，并符合规划管控要求。</w:t>
      </w:r>
    </w:p>
    <w:p>
      <w:pPr>
        <w:pageBreakBefore w:val="0"/>
        <w:widowControl/>
        <w:tabs>
          <w:tab w:val="left" w:pos="2730"/>
        </w:tabs>
        <w:kinsoku/>
        <w:wordWrap/>
        <w:topLinePunct w:val="0"/>
        <w:autoSpaceDE/>
        <w:autoSpaceDN/>
        <w:bidi w:val="0"/>
        <w:spacing w:line="360" w:lineRule="exact"/>
        <w:jc w:val="left"/>
        <w:outlineLvl w:val="1"/>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七</w:t>
      </w:r>
      <w:r>
        <w:rPr>
          <w:rFonts w:ascii="Times New Roman" w:hAnsi="Times New Roman" w:eastAsia="黑体" w:cs="Times New Roman"/>
          <w:kern w:val="0"/>
          <w:sz w:val="31"/>
          <w:szCs w:val="31"/>
          <w:lang w:bidi="ar"/>
        </w:rPr>
        <w:t>、效益评估</w:t>
      </w:r>
    </w:p>
    <w:p>
      <w:pPr>
        <w:pStyle w:val="23"/>
        <w:pageBreakBefore w:val="0"/>
        <w:kinsoku/>
        <w:wordWrap/>
        <w:topLinePunct w:val="0"/>
        <w:autoSpaceDE/>
        <w:autoSpaceDN/>
        <w:bidi w:val="0"/>
        <w:spacing w:before="156" w:beforeLines="50" w:after="156" w:afterLines="50" w:line="360" w:lineRule="exact"/>
        <w:ind w:firstLine="602" w:firstLineChars="200"/>
        <w:rPr>
          <w:rFonts w:ascii="仿宋" w:hAnsi="仿宋" w:eastAsia="仿宋" w:cs="仿宋"/>
          <w:kern w:val="0"/>
          <w:sz w:val="30"/>
          <w:szCs w:val="30"/>
        </w:rPr>
      </w:pPr>
      <w:bookmarkStart w:id="2" w:name="_Toc9692"/>
      <w:r>
        <w:rPr>
          <w:rFonts w:hint="eastAsia" w:ascii="仿宋" w:hAnsi="仿宋" w:eastAsia="仿宋" w:cs="仿宋"/>
          <w:kern w:val="0"/>
          <w:sz w:val="30"/>
          <w:szCs w:val="30"/>
        </w:rPr>
        <w:t>（一）土地利用效益</w:t>
      </w:r>
      <w:bookmarkEnd w:id="2"/>
    </w:p>
    <w:p>
      <w:pPr>
        <w:pStyle w:val="20"/>
        <w:pageBreakBefore w:val="0"/>
        <w:kinsoku/>
        <w:wordWrap/>
        <w:topLinePunct w:val="0"/>
        <w:autoSpaceDE/>
        <w:autoSpaceDN/>
        <w:bidi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方案通过采取合理确定出让土地的宗地规模、严格落实工业和经营性用地招标拍卖挂牌出让制度、强化用地合同管理等节约集约用地措施，合理安排用地规模、结构和布局，优化土地利用空间格局，因地制宜配置用地，本次成片开发拟建设红木智能家具标准化厂房，项目建成投入使用后地均收入可有效提高，土地利用效益较好。本方案工业用地面积</w:t>
      </w:r>
      <w:r>
        <w:rPr>
          <w:rFonts w:hint="eastAsia" w:ascii="仿宋" w:hAnsi="仿宋" w:eastAsia="仿宋" w:cs="仿宋"/>
          <w:kern w:val="0"/>
          <w:sz w:val="30"/>
          <w:szCs w:val="30"/>
          <w:lang w:val="en-US" w:eastAsia="zh-CN"/>
        </w:rPr>
        <w:t>22.8143</w:t>
      </w:r>
      <w:r>
        <w:rPr>
          <w:rFonts w:hint="eastAsia" w:ascii="仿宋" w:hAnsi="仿宋" w:eastAsia="仿宋" w:cs="仿宋"/>
          <w:kern w:val="0"/>
          <w:sz w:val="30"/>
          <w:szCs w:val="30"/>
        </w:rPr>
        <w:t>公顷，工业用地规划容积率不低于</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建筑系数不低于40%，工业用地各项控制指标满足《福建省人民政府关于进一步推进工用地提质增效促进工业经济高质量发展的通知》（闽政〔2022〕19号）的要求，项目开发建设提高现有用地使用效益，实现土地利用由粗放型向集约型的根本转变，形</w:t>
      </w:r>
      <w:bookmarkStart w:id="5" w:name="_GoBack"/>
      <w:bookmarkEnd w:id="5"/>
      <w:r>
        <w:rPr>
          <w:rFonts w:hint="eastAsia" w:ascii="仿宋" w:hAnsi="仿宋" w:eastAsia="仿宋" w:cs="仿宋"/>
          <w:kern w:val="0"/>
          <w:sz w:val="30"/>
          <w:szCs w:val="30"/>
        </w:rPr>
        <w:t>成布局集中、产业集聚、用地集约的产业园区。</w:t>
      </w:r>
    </w:p>
    <w:p>
      <w:pPr>
        <w:pStyle w:val="23"/>
        <w:pageBreakBefore w:val="0"/>
        <w:kinsoku/>
        <w:wordWrap/>
        <w:topLinePunct w:val="0"/>
        <w:autoSpaceDE/>
        <w:autoSpaceDN/>
        <w:bidi w:val="0"/>
        <w:spacing w:before="156" w:beforeLines="50" w:after="156" w:afterLines="50" w:line="360" w:lineRule="exact"/>
        <w:ind w:firstLine="602" w:firstLineChars="200"/>
        <w:rPr>
          <w:rFonts w:ascii="仿宋" w:hAnsi="仿宋" w:eastAsia="仿宋" w:cs="仿宋"/>
          <w:kern w:val="0"/>
          <w:sz w:val="30"/>
          <w:szCs w:val="30"/>
        </w:rPr>
      </w:pPr>
      <w:bookmarkStart w:id="3" w:name="_Toc12512"/>
      <w:r>
        <w:rPr>
          <w:rFonts w:hint="eastAsia" w:ascii="仿宋" w:hAnsi="仿宋" w:eastAsia="仿宋" w:cs="仿宋"/>
          <w:kern w:val="0"/>
          <w:sz w:val="30"/>
          <w:szCs w:val="30"/>
        </w:rPr>
        <w:t>（二）经济效益</w:t>
      </w:r>
      <w:bookmarkEnd w:id="3"/>
    </w:p>
    <w:p>
      <w:pPr>
        <w:pStyle w:val="20"/>
        <w:pageBreakBefore w:val="0"/>
        <w:kinsoku/>
        <w:wordWrap/>
        <w:topLinePunct w:val="0"/>
        <w:autoSpaceDE/>
        <w:autoSpaceDN/>
        <w:bidi w:val="0"/>
        <w:spacing w:line="3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该地块拟作为智能家具标准化厂房建设，有助于打造龙头企业，完善企业产业链条，提高企业创新力和竞争力，促使企业向专业化、社会化发展，有利于形成产业集群，促进区域经济发展。本方案成片开发预计用于工业用地面积</w:t>
      </w:r>
      <w:r>
        <w:rPr>
          <w:rFonts w:hint="eastAsia" w:ascii="仿宋" w:hAnsi="仿宋" w:eastAsia="仿宋" w:cs="仿宋"/>
          <w:kern w:val="0"/>
          <w:sz w:val="30"/>
          <w:szCs w:val="30"/>
          <w:lang w:val="en-US" w:eastAsia="zh-CN"/>
        </w:rPr>
        <w:t>22.8143</w:t>
      </w:r>
      <w:r>
        <w:rPr>
          <w:rFonts w:hint="eastAsia" w:ascii="仿宋" w:hAnsi="仿宋" w:eastAsia="仿宋" w:cs="仿宋"/>
          <w:kern w:val="0"/>
          <w:sz w:val="30"/>
          <w:szCs w:val="30"/>
        </w:rPr>
        <w:t>公顷，固定资产投资为80万元/亩，地均税收每年约为20万元/亩,总固定资产投资约</w:t>
      </w:r>
      <w:r>
        <w:rPr>
          <w:rFonts w:hint="eastAsia" w:ascii="仿宋" w:hAnsi="仿宋" w:eastAsia="仿宋" w:cs="仿宋"/>
          <w:kern w:val="0"/>
          <w:sz w:val="30"/>
          <w:szCs w:val="30"/>
          <w:lang w:val="en-US" w:eastAsia="zh-CN"/>
        </w:rPr>
        <w:t>2.7</w:t>
      </w:r>
      <w:r>
        <w:rPr>
          <w:rFonts w:hint="eastAsia" w:ascii="仿宋" w:hAnsi="仿宋" w:eastAsia="仿宋" w:cs="仿宋"/>
          <w:kern w:val="0"/>
          <w:sz w:val="30"/>
          <w:szCs w:val="30"/>
        </w:rPr>
        <w:t>亿元，增加新的税收增长点。</w:t>
      </w:r>
    </w:p>
    <w:p>
      <w:pPr>
        <w:pStyle w:val="23"/>
        <w:pageBreakBefore w:val="0"/>
        <w:kinsoku/>
        <w:wordWrap/>
        <w:topLinePunct w:val="0"/>
        <w:autoSpaceDE/>
        <w:autoSpaceDN/>
        <w:bidi w:val="0"/>
        <w:spacing w:before="156" w:beforeLines="50" w:after="156" w:afterLines="50" w:line="360" w:lineRule="exact"/>
        <w:ind w:firstLine="602" w:firstLineChars="200"/>
        <w:rPr>
          <w:rFonts w:ascii="仿宋" w:hAnsi="仿宋" w:eastAsia="仿宋" w:cs="仿宋"/>
          <w:kern w:val="0"/>
          <w:sz w:val="30"/>
          <w:szCs w:val="30"/>
        </w:rPr>
      </w:pPr>
      <w:r>
        <w:rPr>
          <w:rFonts w:hint="eastAsia" w:ascii="仿宋" w:hAnsi="仿宋" w:eastAsia="仿宋" w:cs="仿宋"/>
          <w:kern w:val="0"/>
          <w:sz w:val="30"/>
          <w:szCs w:val="30"/>
        </w:rPr>
        <w:t>（三）社会效益</w:t>
      </w:r>
    </w:p>
    <w:p>
      <w:pPr>
        <w:pageBreakBefore w:val="0"/>
        <w:kinsoku/>
        <w:wordWrap/>
        <w:topLinePunct w:val="0"/>
        <w:autoSpaceDE/>
        <w:autoSpaceDN/>
        <w:bidi w:val="0"/>
        <w:adjustRightInd w:val="0"/>
        <w:snapToGrid w:val="0"/>
        <w:spacing w:line="3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该项目建成后，产业的发展需要吸纳大量的劳动力，可为当地提供</w:t>
      </w:r>
      <w:r>
        <w:rPr>
          <w:rFonts w:hint="eastAsia" w:eastAsia="仿宋_GB2312"/>
          <w:color w:val="000000"/>
          <w:sz w:val="32"/>
          <w:szCs w:val="32"/>
          <w:shd w:val="clear" w:color="auto" w:fill="FFFFFF"/>
          <w:lang w:val="en-US" w:eastAsia="zh-CN"/>
        </w:rPr>
        <w:t>8</w:t>
      </w:r>
      <w:r>
        <w:rPr>
          <w:rFonts w:hint="eastAsia" w:eastAsia="仿宋_GB2312"/>
          <w:color w:val="000000"/>
          <w:sz w:val="32"/>
          <w:szCs w:val="32"/>
          <w:shd w:val="clear" w:color="auto" w:fill="FFFFFF"/>
        </w:rPr>
        <w:t>00</w:t>
      </w:r>
      <w:r>
        <w:rPr>
          <w:rFonts w:eastAsia="仿宋_GB2312"/>
          <w:color w:val="000000"/>
          <w:sz w:val="32"/>
          <w:szCs w:val="32"/>
          <w:shd w:val="clear" w:color="auto" w:fill="FFFFFF"/>
        </w:rPr>
        <w:t>个就业岗位，解决部分剩余劳动力就业问题，增加当地居民的收入，从而缓解社会就业压力。此外，随着企业的入驻，也将带动区域住宿、餐饮服务第三产业的发展，使原从事农业生产的居民就业渠道得以拓宽，有利于消除社会不稳定因素，促进社会和谐、稳定、健康发展。</w:t>
      </w:r>
      <w:r>
        <w:rPr>
          <w:rFonts w:eastAsia="仿宋_GB2312"/>
          <w:sz w:val="32"/>
          <w:szCs w:val="32"/>
        </w:rPr>
        <w:t>本方案成片开发区域内用地性质是综合多样的，既有公益性用地，也有工业用地，整体基础设施由政府统一供给，在统一规划指导下实施建设。公益性用地的比例</w:t>
      </w:r>
      <w:r>
        <w:rPr>
          <w:rFonts w:hint="eastAsia" w:eastAsia="仿宋_GB2312"/>
          <w:sz w:val="32"/>
          <w:szCs w:val="32"/>
        </w:rPr>
        <w:t>超过</w:t>
      </w:r>
      <w:r>
        <w:rPr>
          <w:rFonts w:eastAsia="仿宋_GB2312"/>
          <w:sz w:val="32"/>
          <w:szCs w:val="32"/>
        </w:rPr>
        <w:t>40%，在土地开发过程中将不同规划用途土地上产生的增值收益进行公平分配，保障区域统一的配套建设，补足公共服务短板。</w:t>
      </w:r>
    </w:p>
    <w:p>
      <w:pPr>
        <w:pStyle w:val="23"/>
        <w:pageBreakBefore w:val="0"/>
        <w:numPr>
          <w:ilvl w:val="1"/>
          <w:numId w:val="0"/>
        </w:numPr>
        <w:kinsoku/>
        <w:wordWrap/>
        <w:topLinePunct w:val="0"/>
        <w:autoSpaceDE/>
        <w:autoSpaceDN/>
        <w:bidi w:val="0"/>
        <w:spacing w:before="156" w:beforeLines="50" w:after="156" w:afterLines="50" w:line="360" w:lineRule="exact"/>
        <w:ind w:firstLine="602" w:firstLineChars="200"/>
        <w:rPr>
          <w:rFonts w:ascii="仿宋" w:hAnsi="仿宋" w:eastAsia="仿宋" w:cs="仿宋"/>
          <w:color w:val="000000"/>
          <w:kern w:val="0"/>
          <w:sz w:val="30"/>
          <w:szCs w:val="30"/>
        </w:rPr>
      </w:pPr>
      <w:bookmarkStart w:id="4" w:name="_Toc32144"/>
      <w:r>
        <w:rPr>
          <w:rFonts w:hint="eastAsia" w:ascii="仿宋" w:hAnsi="仿宋" w:eastAsia="仿宋" w:cs="仿宋"/>
          <w:color w:val="000000"/>
          <w:kern w:val="0"/>
          <w:sz w:val="30"/>
          <w:szCs w:val="30"/>
        </w:rPr>
        <w:t>（四）生态效益</w:t>
      </w:r>
      <w:bookmarkEnd w:id="4"/>
    </w:p>
    <w:p>
      <w:pPr>
        <w:pStyle w:val="20"/>
        <w:pageBreakBefore w:val="0"/>
        <w:widowControl/>
        <w:kinsoku/>
        <w:wordWrap/>
        <w:topLinePunct w:val="0"/>
        <w:autoSpaceDE/>
        <w:autoSpaceDN/>
        <w:bidi w:val="0"/>
        <w:spacing w:line="360" w:lineRule="exact"/>
        <w:ind w:firstLine="600" w:firstLineChars="200"/>
        <w:jc w:val="left"/>
        <w:rPr>
          <w:rFonts w:hint="eastAsia" w:ascii="仿宋" w:hAnsi="仿宋" w:eastAsia="仿宋" w:cs="仿宋"/>
          <w:color w:val="000000"/>
          <w:kern w:val="0"/>
          <w:sz w:val="30"/>
          <w:szCs w:val="30"/>
          <w:shd w:val="clear" w:color="auto" w:fill="FFFFFF"/>
          <w:lang w:val="en-US" w:eastAsia="zh-CN"/>
        </w:rPr>
      </w:pPr>
      <w:r>
        <w:rPr>
          <w:rFonts w:hint="eastAsia" w:ascii="仿宋" w:hAnsi="仿宋" w:eastAsia="仿宋" w:cs="仿宋"/>
          <w:color w:val="000000"/>
          <w:kern w:val="0"/>
          <w:sz w:val="30"/>
          <w:szCs w:val="30"/>
          <w:shd w:val="clear" w:color="auto" w:fill="FFFFFF"/>
          <w:lang w:val="en-US" w:eastAsia="zh-CN"/>
        </w:rPr>
        <w:t>本方案拟建设防护绿地</w:t>
      </w:r>
      <w:r>
        <w:rPr>
          <w:rFonts w:hint="default" w:ascii="仿宋" w:hAnsi="仿宋" w:eastAsia="仿宋" w:cs="仿宋"/>
          <w:color w:val="000000"/>
          <w:kern w:val="0"/>
          <w:sz w:val="30"/>
          <w:szCs w:val="30"/>
          <w:shd w:val="clear" w:color="auto" w:fill="FFFFFF"/>
          <w:lang w:val="en-US" w:eastAsia="zh-CN"/>
        </w:rPr>
        <w:t>2.9311</w:t>
      </w:r>
      <w:r>
        <w:rPr>
          <w:rFonts w:hint="eastAsia" w:ascii="仿宋" w:hAnsi="仿宋" w:eastAsia="仿宋" w:cs="仿宋"/>
          <w:color w:val="000000"/>
          <w:kern w:val="0"/>
          <w:sz w:val="30"/>
          <w:szCs w:val="30"/>
          <w:shd w:val="clear" w:color="auto" w:fill="FFFFFF"/>
          <w:lang w:val="en-US" w:eastAsia="zh-CN"/>
        </w:rPr>
        <w:t>公顷，将提高片区内环境质量，改善生态环境，在减少水域污染、降低噪音等诸方面发挥作用。</w:t>
      </w:r>
    </w:p>
    <w:p>
      <w:pPr>
        <w:pStyle w:val="20"/>
        <w:pageBreakBefore w:val="0"/>
        <w:widowControl/>
        <w:kinsoku/>
        <w:wordWrap/>
        <w:topLinePunct w:val="0"/>
        <w:autoSpaceDE/>
        <w:autoSpaceDN/>
        <w:bidi w:val="0"/>
        <w:spacing w:line="360" w:lineRule="exact"/>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集中建设</w:t>
      </w:r>
      <w:r>
        <w:rPr>
          <w:rFonts w:hint="eastAsia" w:ascii="仿宋" w:hAnsi="仿宋" w:eastAsia="仿宋" w:cs="仿宋"/>
          <w:color w:val="000000"/>
          <w:kern w:val="0"/>
          <w:sz w:val="30"/>
          <w:szCs w:val="30"/>
          <w:shd w:val="clear" w:color="auto" w:fill="FFFFFF"/>
          <w:lang w:val="en-US" w:eastAsia="zh-CN"/>
        </w:rPr>
        <w:t>电子产业第</w:t>
      </w:r>
      <w:r>
        <w:rPr>
          <w:rFonts w:hint="eastAsia" w:ascii="仿宋" w:hAnsi="仿宋" w:eastAsia="仿宋" w:cs="仿宋"/>
          <w:color w:val="000000"/>
          <w:kern w:val="0"/>
          <w:sz w:val="30"/>
          <w:szCs w:val="30"/>
          <w:shd w:val="clear" w:color="auto" w:fill="FFFFFF"/>
        </w:rPr>
        <w:t>标准化厂房，污水废气及固体废弃物统一收集处理。本方案新建设污水管网长度0.</w:t>
      </w:r>
      <w:r>
        <w:rPr>
          <w:rFonts w:hint="eastAsia" w:ascii="仿宋" w:hAnsi="仿宋" w:eastAsia="仿宋" w:cs="仿宋"/>
          <w:color w:val="000000"/>
          <w:kern w:val="0"/>
          <w:sz w:val="30"/>
          <w:szCs w:val="30"/>
          <w:shd w:val="clear" w:color="auto" w:fill="FFFFFF"/>
          <w:lang w:val="en-US" w:eastAsia="zh-CN"/>
        </w:rPr>
        <w:t>6</w:t>
      </w:r>
      <w:r>
        <w:rPr>
          <w:rFonts w:hint="eastAsia" w:ascii="仿宋" w:hAnsi="仿宋" w:eastAsia="仿宋" w:cs="仿宋"/>
          <w:color w:val="000000"/>
          <w:kern w:val="0"/>
          <w:sz w:val="30"/>
          <w:szCs w:val="30"/>
          <w:shd w:val="clear" w:color="auto" w:fill="FFFFFF"/>
        </w:rPr>
        <w:t>公里，接入市政污水处理管网，在减少水域面源的同时、所有污水经过污水管道收集后接到污水处理厂。噪声方面，制定环境噪声防治管理办法，实施噪声防治管理办法，重点控制交通噪声污染。固体废弃物方面，集中收集，定时由环卫部门统一清运处理，垃圾可得到及时妥善处理，实现垃圾减量化、无害化、资源化的目标。该项目计划通过标准化、规范化、花园式的厂房厂区建设，建成集规范的生产秩序、良好的生产环境、高品位的旅游观光鉴赏为一体的现代产业集群。</w:t>
      </w:r>
    </w:p>
    <w:p>
      <w:pPr>
        <w:pStyle w:val="20"/>
        <w:pageBreakBefore w:val="0"/>
        <w:widowControl/>
        <w:kinsoku/>
        <w:wordWrap/>
        <w:topLinePunct w:val="0"/>
        <w:autoSpaceDE/>
        <w:autoSpaceDN/>
        <w:bidi w:val="0"/>
        <w:spacing w:line="360" w:lineRule="exact"/>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本片区涉及用途变的，变更前应依法进行土壤污染状况调查，确保符合规划用途土壤环境质量要求；同时，依照《中华人民共和国土壤污染防治法》相关规定，对开发建设过程中剥离的表土，应当单独收集和存放，符合条件的应当优先用于土地复垦、土壤改良、造地和绿化等；禁止将重金属或者其他有毒有害物质含量超标的工业固体废物、生活垃圾或者污染土壤用于土地复垦。通过进行土壤污染调查，确保符合规划用途土壤环境质量要求。综上，该片区开发建设对生态环境有促进作用。</w:t>
      </w:r>
    </w:p>
    <w:p>
      <w:pPr>
        <w:pageBreakBefore w:val="0"/>
        <w:kinsoku/>
        <w:wordWrap/>
        <w:overflowPunct w:val="0"/>
        <w:topLinePunct w:val="0"/>
        <w:autoSpaceDE/>
        <w:autoSpaceDN/>
        <w:bidi w:val="0"/>
        <w:spacing w:line="360" w:lineRule="exact"/>
        <w:ind w:firstLine="620" w:firstLineChars="200"/>
        <w:jc w:val="left"/>
        <w:rPr>
          <w:rFonts w:ascii="Times New Roman" w:hAnsi="Times New Roman" w:eastAsia="黑体" w:cs="Times New Roman"/>
          <w:kern w:val="0"/>
          <w:sz w:val="31"/>
          <w:szCs w:val="31"/>
          <w:lang w:bidi="ar"/>
        </w:rPr>
      </w:pPr>
      <w:r>
        <w:rPr>
          <w:rFonts w:hint="eastAsia" w:ascii="Times New Roman" w:hAnsi="Times New Roman" w:eastAsia="黑体" w:cs="Times New Roman"/>
          <w:kern w:val="0"/>
          <w:sz w:val="31"/>
          <w:szCs w:val="31"/>
          <w:lang w:bidi="ar"/>
        </w:rPr>
        <w:t>八</w:t>
      </w:r>
      <w:r>
        <w:rPr>
          <w:rFonts w:ascii="Times New Roman" w:hAnsi="Times New Roman" w:eastAsia="黑体" w:cs="Times New Roman"/>
          <w:kern w:val="0"/>
          <w:sz w:val="31"/>
          <w:szCs w:val="31"/>
          <w:lang w:bidi="ar"/>
        </w:rPr>
        <w:t>、结论</w:t>
      </w:r>
    </w:p>
    <w:p>
      <w:pPr>
        <w:pStyle w:val="5"/>
        <w:pageBreakBefore w:val="0"/>
        <w:kinsoku/>
        <w:wordWrap/>
        <w:topLinePunct w:val="0"/>
        <w:autoSpaceDE/>
        <w:autoSpaceDN/>
        <w:bidi w:val="0"/>
        <w:spacing w:before="0" w:after="0" w:line="360" w:lineRule="exact"/>
        <w:ind w:firstLine="620" w:firstLineChars="200"/>
        <w:rPr>
          <w:rFonts w:hint="eastAsia" w:ascii="Times New Roman" w:hAnsi="Times New Roman" w:eastAsia="仿宋_GB2312" w:cs="Times New Roman"/>
          <w:b w:val="0"/>
          <w:bCs w:val="0"/>
          <w:kern w:val="0"/>
          <w:sz w:val="31"/>
          <w:szCs w:val="31"/>
          <w:lang w:val="en-US" w:eastAsia="zh-CN" w:bidi="ar"/>
        </w:rPr>
        <w:sectPr>
          <w:pgSz w:w="11906" w:h="16838"/>
          <w:pgMar w:top="1440" w:right="1797" w:bottom="1440" w:left="1797" w:header="851" w:footer="992" w:gutter="0"/>
          <w:cols w:space="425" w:num="1"/>
          <w:docGrid w:type="lines" w:linePitch="312" w:charSpace="0"/>
        </w:sectPr>
      </w:pPr>
      <w:r>
        <w:rPr>
          <w:rFonts w:ascii="Times New Roman" w:hAnsi="Times New Roman" w:eastAsia="仿宋_GB2312" w:cs="Times New Roman"/>
          <w:b w:val="0"/>
          <w:bCs w:val="0"/>
          <w:kern w:val="0"/>
          <w:sz w:val="31"/>
          <w:szCs w:val="31"/>
          <w:lang w:bidi="ar"/>
        </w:rPr>
        <w:t>《仙游县202</w:t>
      </w:r>
      <w:r>
        <w:rPr>
          <w:rFonts w:hint="eastAsia" w:ascii="Times New Roman" w:hAnsi="Times New Roman" w:eastAsia="仿宋_GB2312" w:cs="Times New Roman"/>
          <w:b w:val="0"/>
          <w:bCs w:val="0"/>
          <w:kern w:val="0"/>
          <w:sz w:val="31"/>
          <w:szCs w:val="31"/>
          <w:lang w:val="en-US" w:eastAsia="zh-CN" w:bidi="ar"/>
        </w:rPr>
        <w:t>3</w:t>
      </w:r>
      <w:r>
        <w:rPr>
          <w:rFonts w:ascii="Times New Roman" w:hAnsi="Times New Roman" w:eastAsia="仿宋_GB2312" w:cs="Times New Roman"/>
          <w:b w:val="0"/>
          <w:bCs w:val="0"/>
          <w:kern w:val="0"/>
          <w:sz w:val="31"/>
          <w:szCs w:val="31"/>
          <w:lang w:bidi="ar"/>
        </w:rPr>
        <w:t>年度第</w:t>
      </w:r>
      <w:r>
        <w:rPr>
          <w:rFonts w:hint="eastAsia" w:ascii="Times New Roman" w:hAnsi="Times New Roman" w:eastAsia="仿宋_GB2312" w:cs="Times New Roman"/>
          <w:b w:val="0"/>
          <w:bCs w:val="0"/>
          <w:kern w:val="0"/>
          <w:sz w:val="31"/>
          <w:szCs w:val="31"/>
          <w:lang w:eastAsia="zh-CN" w:bidi="ar"/>
        </w:rPr>
        <w:t>十六</w:t>
      </w:r>
      <w:r>
        <w:rPr>
          <w:rFonts w:ascii="Times New Roman" w:hAnsi="Times New Roman" w:eastAsia="仿宋_GB2312" w:cs="Times New Roman"/>
          <w:b w:val="0"/>
          <w:bCs w:val="0"/>
          <w:kern w:val="0"/>
          <w:sz w:val="31"/>
          <w:szCs w:val="31"/>
          <w:lang w:bidi="ar"/>
        </w:rPr>
        <w:t>批次土地征收成片开发方案（</w:t>
      </w:r>
      <w:r>
        <w:rPr>
          <w:rFonts w:hint="eastAsia" w:ascii="Times New Roman" w:hAnsi="Times New Roman" w:eastAsia="仿宋_GB2312" w:cs="Times New Roman"/>
          <w:b w:val="0"/>
          <w:bCs w:val="0"/>
          <w:kern w:val="0"/>
          <w:sz w:val="31"/>
          <w:szCs w:val="31"/>
          <w:lang w:val="en-US" w:eastAsia="zh-CN" w:bidi="ar"/>
        </w:rPr>
        <w:t>瑞峰产业园西片区</w:t>
      </w:r>
      <w:r>
        <w:rPr>
          <w:rFonts w:ascii="Times New Roman" w:hAnsi="Times New Roman" w:eastAsia="仿宋_GB2312" w:cs="Times New Roman"/>
          <w:b w:val="0"/>
          <w:bCs w:val="0"/>
          <w:kern w:val="0"/>
          <w:sz w:val="31"/>
          <w:szCs w:val="31"/>
          <w:lang w:bidi="ar"/>
        </w:rPr>
        <w:t>）</w:t>
      </w:r>
      <w:r>
        <w:rPr>
          <w:rFonts w:hint="eastAsia" w:ascii="Times New Roman" w:hAnsi="Times New Roman" w:eastAsia="仿宋_GB2312" w:cs="Times New Roman"/>
          <w:b w:val="0"/>
          <w:bCs w:val="0"/>
          <w:kern w:val="0"/>
          <w:sz w:val="31"/>
          <w:szCs w:val="31"/>
          <w:lang w:val="en-US" w:eastAsia="zh-CN" w:bidi="ar"/>
        </w:rPr>
        <w:t>》符合土地征收成片开发的标准。</w:t>
      </w:r>
    </w:p>
    <w:p>
      <w:pPr>
        <w:jc w:val="center"/>
        <w:rPr>
          <w:rFonts w:hint="eastAsia" w:ascii="Times New Roman" w:hAnsi="Times New Roman" w:eastAsia="仿宋_GB2312" w:cs="Times New Roman"/>
          <w:b/>
          <w:bCs/>
          <w:kern w:val="0"/>
          <w:sz w:val="28"/>
          <w:szCs w:val="28"/>
          <w:lang w:eastAsia="zh-CN" w:bidi="ar"/>
        </w:rPr>
      </w:pPr>
    </w:p>
    <w:p>
      <w:pPr>
        <w:jc w:val="center"/>
        <w:rPr>
          <w:rFonts w:hint="eastAsia" w:ascii="Times New Roman" w:hAnsi="Times New Roman" w:eastAsia="仿宋_GB2312" w:cs="Times New Roman"/>
          <w:b/>
          <w:bCs/>
          <w:kern w:val="0"/>
          <w:sz w:val="28"/>
          <w:szCs w:val="28"/>
          <w:lang w:eastAsia="zh-CN" w:bidi="ar"/>
        </w:rPr>
      </w:pPr>
      <w:r>
        <w:rPr>
          <w:rFonts w:hint="eastAsia" w:ascii="Times New Roman" w:hAnsi="Times New Roman" w:eastAsia="仿宋_GB2312" w:cs="Times New Roman"/>
          <w:b/>
          <w:bCs/>
          <w:kern w:val="0"/>
          <w:sz w:val="28"/>
          <w:szCs w:val="28"/>
          <w:lang w:eastAsia="zh-CN" w:bidi="ar"/>
        </w:rPr>
        <w:drawing>
          <wp:inline distT="0" distB="0" distL="114300" distR="114300">
            <wp:extent cx="8282940" cy="5861050"/>
            <wp:effectExtent l="0" t="0" r="6350" b="3810"/>
            <wp:docPr id="1" name="图片 1" descr="成片开发位置示意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片开发位置示意图3"/>
                    <pic:cNvPicPr>
                      <a:picLocks noChangeAspect="1"/>
                    </pic:cNvPicPr>
                  </pic:nvPicPr>
                  <pic:blipFill>
                    <a:blip r:embed="rId4"/>
                    <a:stretch>
                      <a:fillRect/>
                    </a:stretch>
                  </pic:blipFill>
                  <pic:spPr>
                    <a:xfrm rot="16200000">
                      <a:off x="0" y="0"/>
                      <a:ext cx="8282940" cy="5861050"/>
                    </a:xfrm>
                    <a:prstGeom prst="rect">
                      <a:avLst/>
                    </a:prstGeom>
                  </pic:spPr>
                </pic:pic>
              </a:graphicData>
            </a:graphic>
          </wp:inline>
        </w:drawing>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86"/>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2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121519E2"/>
    <w:multiLevelType w:val="singleLevel"/>
    <w:tmpl w:val="121519E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9C2A55"/>
    <w:rsid w:val="000006D4"/>
    <w:rsid w:val="00004EBC"/>
    <w:rsid w:val="000052D5"/>
    <w:rsid w:val="00023701"/>
    <w:rsid w:val="00041CCE"/>
    <w:rsid w:val="0005467B"/>
    <w:rsid w:val="00060D4F"/>
    <w:rsid w:val="00077062"/>
    <w:rsid w:val="00077726"/>
    <w:rsid w:val="00093DD0"/>
    <w:rsid w:val="000969B3"/>
    <w:rsid w:val="000B3D7B"/>
    <w:rsid w:val="000B48FD"/>
    <w:rsid w:val="000B6C40"/>
    <w:rsid w:val="000D4EF6"/>
    <w:rsid w:val="000F02CA"/>
    <w:rsid w:val="00105092"/>
    <w:rsid w:val="0013207B"/>
    <w:rsid w:val="001419A4"/>
    <w:rsid w:val="00161B0D"/>
    <w:rsid w:val="00161FC2"/>
    <w:rsid w:val="00170EC6"/>
    <w:rsid w:val="00190AD9"/>
    <w:rsid w:val="001B0248"/>
    <w:rsid w:val="001B2602"/>
    <w:rsid w:val="001F00F4"/>
    <w:rsid w:val="0020783F"/>
    <w:rsid w:val="00212546"/>
    <w:rsid w:val="00244970"/>
    <w:rsid w:val="0024707F"/>
    <w:rsid w:val="00262566"/>
    <w:rsid w:val="00290531"/>
    <w:rsid w:val="002B00A2"/>
    <w:rsid w:val="002F75B2"/>
    <w:rsid w:val="00310F42"/>
    <w:rsid w:val="00312A11"/>
    <w:rsid w:val="003135AD"/>
    <w:rsid w:val="00314F42"/>
    <w:rsid w:val="00336077"/>
    <w:rsid w:val="00347784"/>
    <w:rsid w:val="00353FAA"/>
    <w:rsid w:val="0036787B"/>
    <w:rsid w:val="003748F3"/>
    <w:rsid w:val="0039266A"/>
    <w:rsid w:val="003D5B2E"/>
    <w:rsid w:val="003E761A"/>
    <w:rsid w:val="003F074B"/>
    <w:rsid w:val="00451BE2"/>
    <w:rsid w:val="00455CD3"/>
    <w:rsid w:val="00461CF3"/>
    <w:rsid w:val="004B49AE"/>
    <w:rsid w:val="004E5550"/>
    <w:rsid w:val="0050081E"/>
    <w:rsid w:val="00503947"/>
    <w:rsid w:val="00504642"/>
    <w:rsid w:val="00524741"/>
    <w:rsid w:val="00535701"/>
    <w:rsid w:val="005501A8"/>
    <w:rsid w:val="00554CF8"/>
    <w:rsid w:val="00555662"/>
    <w:rsid w:val="00555A23"/>
    <w:rsid w:val="0056332F"/>
    <w:rsid w:val="005650B4"/>
    <w:rsid w:val="00565D27"/>
    <w:rsid w:val="00590607"/>
    <w:rsid w:val="005C1199"/>
    <w:rsid w:val="005C2A0C"/>
    <w:rsid w:val="005E3CB7"/>
    <w:rsid w:val="006020C2"/>
    <w:rsid w:val="00605235"/>
    <w:rsid w:val="00605652"/>
    <w:rsid w:val="00607F8A"/>
    <w:rsid w:val="00621E0F"/>
    <w:rsid w:val="006225CE"/>
    <w:rsid w:val="00622DA3"/>
    <w:rsid w:val="00636B05"/>
    <w:rsid w:val="00657DED"/>
    <w:rsid w:val="00661C1C"/>
    <w:rsid w:val="00674F89"/>
    <w:rsid w:val="006A023C"/>
    <w:rsid w:val="006C380A"/>
    <w:rsid w:val="006D3327"/>
    <w:rsid w:val="006D5485"/>
    <w:rsid w:val="006E66D7"/>
    <w:rsid w:val="006F29DB"/>
    <w:rsid w:val="006F5DDB"/>
    <w:rsid w:val="00705170"/>
    <w:rsid w:val="007211B9"/>
    <w:rsid w:val="0075218A"/>
    <w:rsid w:val="007843BB"/>
    <w:rsid w:val="007876D1"/>
    <w:rsid w:val="0079179B"/>
    <w:rsid w:val="007C16D3"/>
    <w:rsid w:val="007D396F"/>
    <w:rsid w:val="007F4EAD"/>
    <w:rsid w:val="00820F82"/>
    <w:rsid w:val="00823E09"/>
    <w:rsid w:val="00834F22"/>
    <w:rsid w:val="00837764"/>
    <w:rsid w:val="0084271A"/>
    <w:rsid w:val="008637CE"/>
    <w:rsid w:val="008641E4"/>
    <w:rsid w:val="0086783F"/>
    <w:rsid w:val="00876841"/>
    <w:rsid w:val="0088296D"/>
    <w:rsid w:val="00883A68"/>
    <w:rsid w:val="00884B9D"/>
    <w:rsid w:val="0088551F"/>
    <w:rsid w:val="008A2E35"/>
    <w:rsid w:val="008F672B"/>
    <w:rsid w:val="00911A4A"/>
    <w:rsid w:val="0092657A"/>
    <w:rsid w:val="009354ED"/>
    <w:rsid w:val="009358C5"/>
    <w:rsid w:val="00975942"/>
    <w:rsid w:val="009A34F4"/>
    <w:rsid w:val="009C11C9"/>
    <w:rsid w:val="009C22F7"/>
    <w:rsid w:val="009C2A55"/>
    <w:rsid w:val="009C2B39"/>
    <w:rsid w:val="009F0041"/>
    <w:rsid w:val="009F7289"/>
    <w:rsid w:val="00A04188"/>
    <w:rsid w:val="00A216AC"/>
    <w:rsid w:val="00A4027A"/>
    <w:rsid w:val="00A40770"/>
    <w:rsid w:val="00A51F81"/>
    <w:rsid w:val="00A64C86"/>
    <w:rsid w:val="00A70A31"/>
    <w:rsid w:val="00A90E3F"/>
    <w:rsid w:val="00A96229"/>
    <w:rsid w:val="00AB4FA1"/>
    <w:rsid w:val="00AF5FDF"/>
    <w:rsid w:val="00AF6DF1"/>
    <w:rsid w:val="00B01908"/>
    <w:rsid w:val="00B21577"/>
    <w:rsid w:val="00B62981"/>
    <w:rsid w:val="00B639B5"/>
    <w:rsid w:val="00B75F03"/>
    <w:rsid w:val="00B7756F"/>
    <w:rsid w:val="00B90F07"/>
    <w:rsid w:val="00BB1789"/>
    <w:rsid w:val="00BB5C3C"/>
    <w:rsid w:val="00C04339"/>
    <w:rsid w:val="00C04F61"/>
    <w:rsid w:val="00C12683"/>
    <w:rsid w:val="00C2749E"/>
    <w:rsid w:val="00C333A6"/>
    <w:rsid w:val="00C352A2"/>
    <w:rsid w:val="00C41A56"/>
    <w:rsid w:val="00C54201"/>
    <w:rsid w:val="00C60CE6"/>
    <w:rsid w:val="00C64F5D"/>
    <w:rsid w:val="00C94A53"/>
    <w:rsid w:val="00CB66FC"/>
    <w:rsid w:val="00CB676F"/>
    <w:rsid w:val="00CE110A"/>
    <w:rsid w:val="00CF0FB7"/>
    <w:rsid w:val="00CF5995"/>
    <w:rsid w:val="00CF7F43"/>
    <w:rsid w:val="00D00AC4"/>
    <w:rsid w:val="00D15989"/>
    <w:rsid w:val="00D30562"/>
    <w:rsid w:val="00D60F24"/>
    <w:rsid w:val="00D631E7"/>
    <w:rsid w:val="00DA1D01"/>
    <w:rsid w:val="00DB4013"/>
    <w:rsid w:val="00DB5ADD"/>
    <w:rsid w:val="00DE06B5"/>
    <w:rsid w:val="00DF0D55"/>
    <w:rsid w:val="00DF5F9F"/>
    <w:rsid w:val="00E13F45"/>
    <w:rsid w:val="00E306AC"/>
    <w:rsid w:val="00E44717"/>
    <w:rsid w:val="00E46C1C"/>
    <w:rsid w:val="00E63632"/>
    <w:rsid w:val="00E71536"/>
    <w:rsid w:val="00E72414"/>
    <w:rsid w:val="00EA2F93"/>
    <w:rsid w:val="00EC4AA5"/>
    <w:rsid w:val="00ED5C8B"/>
    <w:rsid w:val="00EE551E"/>
    <w:rsid w:val="00EF1280"/>
    <w:rsid w:val="00F330B0"/>
    <w:rsid w:val="00F36889"/>
    <w:rsid w:val="00F45506"/>
    <w:rsid w:val="00F51544"/>
    <w:rsid w:val="00F60B08"/>
    <w:rsid w:val="00F62896"/>
    <w:rsid w:val="00F71389"/>
    <w:rsid w:val="00F86494"/>
    <w:rsid w:val="00FB59FA"/>
    <w:rsid w:val="00FC7D03"/>
    <w:rsid w:val="00FE5782"/>
    <w:rsid w:val="147E698A"/>
    <w:rsid w:val="1CFA0A64"/>
    <w:rsid w:val="1F106CB2"/>
    <w:rsid w:val="230B219E"/>
    <w:rsid w:val="29FF5613"/>
    <w:rsid w:val="36BA63DD"/>
    <w:rsid w:val="36C66087"/>
    <w:rsid w:val="44A65161"/>
    <w:rsid w:val="470923BB"/>
    <w:rsid w:val="4D0E7126"/>
    <w:rsid w:val="57E7336B"/>
    <w:rsid w:val="59795C67"/>
    <w:rsid w:val="5B493610"/>
    <w:rsid w:val="62B85B89"/>
    <w:rsid w:val="66CA6537"/>
    <w:rsid w:val="71B4373A"/>
    <w:rsid w:val="724B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新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6">
    <w:name w:val="heading 3"/>
    <w:basedOn w:val="1"/>
    <w:next w:val="1"/>
    <w:link w:val="16"/>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0"/>
    <w:pPr>
      <w:ind w:firstLine="546"/>
    </w:pPr>
  </w:style>
  <w:style w:type="paragraph" w:styleId="4">
    <w:name w:val="Plain Text"/>
    <w:basedOn w:val="1"/>
    <w:qFormat/>
    <w:uiPriority w:val="0"/>
    <w:rPr>
      <w:rFonts w:ascii="宋体" w:hAnsi="Courier New" w:cs="Courier New"/>
      <w:sz w:val="21"/>
      <w:szCs w:val="21"/>
    </w:rPr>
  </w:style>
  <w:style w:type="paragraph" w:styleId="7">
    <w:name w:val="Balloon Text"/>
    <w:basedOn w:val="1"/>
    <w:link w:val="17"/>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0"/>
    <w:link w:val="9"/>
    <w:qFormat/>
    <w:uiPriority w:val="99"/>
    <w:rPr>
      <w:sz w:val="18"/>
      <w:szCs w:val="18"/>
    </w:rPr>
  </w:style>
  <w:style w:type="character" w:customStyle="1" w:styleId="13">
    <w:name w:val="页脚 Char"/>
    <w:basedOn w:val="10"/>
    <w:link w:val="8"/>
    <w:qFormat/>
    <w:uiPriority w:val="99"/>
    <w:rPr>
      <w:sz w:val="18"/>
      <w:szCs w:val="18"/>
    </w:rPr>
  </w:style>
  <w:style w:type="character" w:customStyle="1" w:styleId="14">
    <w:name w:val="标题 1 Char"/>
    <w:basedOn w:val="10"/>
    <w:link w:val="5"/>
    <w:qFormat/>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标题 3 Char"/>
    <w:basedOn w:val="10"/>
    <w:link w:val="6"/>
    <w:qFormat/>
    <w:uiPriority w:val="9"/>
    <w:rPr>
      <w:b/>
      <w:bCs/>
      <w:sz w:val="32"/>
      <w:szCs w:val="32"/>
    </w:rPr>
  </w:style>
  <w:style w:type="character" w:customStyle="1" w:styleId="17">
    <w:name w:val="批注框文本 Char"/>
    <w:basedOn w:val="10"/>
    <w:link w:val="7"/>
    <w:semiHidden/>
    <w:qFormat/>
    <w:uiPriority w:val="99"/>
    <w:rPr>
      <w:sz w:val="18"/>
      <w:szCs w:val="18"/>
    </w:rPr>
  </w:style>
  <w:style w:type="character" w:customStyle="1" w:styleId="18">
    <w:name w:val="Body text|1_"/>
    <w:link w:val="19"/>
    <w:qFormat/>
    <w:uiPriority w:val="0"/>
    <w:rPr>
      <w:rFonts w:ascii="宋体" w:hAnsi="宋体" w:cs="宋体"/>
      <w:sz w:val="28"/>
      <w:szCs w:val="28"/>
      <w:lang w:val="zh-TW" w:eastAsia="zh-TW" w:bidi="zh-TW"/>
    </w:rPr>
  </w:style>
  <w:style w:type="paragraph" w:customStyle="1" w:styleId="19">
    <w:name w:val="Body text|1"/>
    <w:basedOn w:val="1"/>
    <w:link w:val="18"/>
    <w:qFormat/>
    <w:uiPriority w:val="0"/>
    <w:pPr>
      <w:spacing w:after="280"/>
      <w:jc w:val="left"/>
    </w:pPr>
    <w:rPr>
      <w:rFonts w:ascii="宋体" w:hAnsi="宋体" w:cs="宋体"/>
      <w:kern w:val="0"/>
      <w:sz w:val="28"/>
      <w:szCs w:val="28"/>
      <w:lang w:val="zh-TW" w:eastAsia="zh-TW" w:bidi="zh-TW"/>
    </w:rPr>
  </w:style>
  <w:style w:type="paragraph" w:customStyle="1" w:styleId="20">
    <w:name w:val="正文1"/>
    <w:basedOn w:val="1"/>
    <w:next w:val="21"/>
    <w:qFormat/>
    <w:uiPriority w:val="0"/>
    <w:pPr>
      <w:adjustRightInd w:val="0"/>
      <w:ind w:firstLine="482"/>
      <w:textAlignment w:val="baseline"/>
    </w:pPr>
    <w:rPr>
      <w:rFonts w:ascii="宋体" w:hAnsi="宋体"/>
      <w:color w:val="000000"/>
      <w:kern w:val="28"/>
      <w:sz w:val="24"/>
    </w:rPr>
  </w:style>
  <w:style w:type="paragraph" w:customStyle="1" w:styleId="21">
    <w:name w:val="正文首行缩进 21"/>
    <w:basedOn w:val="22"/>
    <w:qFormat/>
    <w:uiPriority w:val="0"/>
  </w:style>
  <w:style w:type="paragraph" w:customStyle="1" w:styleId="22">
    <w:name w:val="正文缩进1"/>
    <w:basedOn w:val="20"/>
    <w:qFormat/>
    <w:uiPriority w:val="0"/>
    <w:pPr>
      <w:spacing w:line="240" w:lineRule="auto"/>
    </w:pPr>
    <w:rPr>
      <w:rFonts w:eastAsia="宋体"/>
      <w:szCs w:val="24"/>
    </w:rPr>
  </w:style>
  <w:style w:type="paragraph" w:customStyle="1" w:styleId="23">
    <w:name w:val="标题 21"/>
    <w:basedOn w:val="20"/>
    <w:next w:val="20"/>
    <w:qFormat/>
    <w:uiPriority w:val="0"/>
    <w:pPr>
      <w:keepNext/>
      <w:keepLines/>
      <w:numPr>
        <w:ilvl w:val="1"/>
        <w:numId w:val="1"/>
      </w:numPr>
      <w:spacing w:line="416" w:lineRule="atLeast"/>
      <w:outlineLvl w:val="1"/>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2659</Words>
  <Characters>2760</Characters>
  <Lines>15</Lines>
  <Paragraphs>4</Paragraphs>
  <TotalTime>10</TotalTime>
  <ScaleCrop>false</ScaleCrop>
  <LinksUpToDate>false</LinksUpToDate>
  <CharactersWithSpaces>2776</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2021-03-24T10:43:00Z</dcterms:created>
  <dc:creator>微软用户</dc:creator>
  <cp:lastModifiedBy>林琳娟</cp:lastModifiedBy>
  <cp:lastPrinted>2023-08-22T09:03:00Z</cp:lastPrinted>
  <dcterms:modified xsi:type="dcterms:W3CDTF">2023-09-01T02:02:20Z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1B3963F8F4B04221A14CCB01380816B3</vt:lpwstr>
  </property>
</Properties>
</file>