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kern w:val="0"/>
          <w:sz w:val="36"/>
          <w:szCs w:val="36"/>
          <w:lang w:bidi="ar"/>
        </w:rPr>
      </w:pPr>
      <w:r>
        <w:rPr>
          <w:rFonts w:ascii="Times New Roman" w:hAnsi="Times New Roman" w:eastAsia="宋体" w:cs="Times New Roman"/>
          <w:kern w:val="0"/>
          <w:sz w:val="36"/>
          <w:szCs w:val="36"/>
          <w:lang w:bidi="ar"/>
        </w:rPr>
        <w:t>附件</w:t>
      </w:r>
    </w:p>
    <w:p>
      <w:pPr>
        <w:pageBreakBefore w:val="0"/>
        <w:widowControl/>
        <w:tabs>
          <w:tab w:val="left" w:pos="2730"/>
        </w:tabs>
        <w:kinsoku/>
        <w:wordWrap/>
        <w:topLinePunct w:val="0"/>
        <w:autoSpaceDE/>
        <w:autoSpaceDN/>
        <w:bidi w:val="0"/>
        <w:spacing w:line="560" w:lineRule="exact"/>
        <w:jc w:val="center"/>
        <w:textAlignment w:val="auto"/>
        <w:outlineLvl w:val="1"/>
        <w:rPr>
          <w:rFonts w:hint="eastAsia" w:ascii="黑体" w:hAnsi="黑体" w:eastAsia="黑体" w:cs="黑体"/>
          <w:i w:val="0"/>
          <w:iCs w:val="0"/>
          <w:caps w:val="0"/>
          <w:color w:val="555555"/>
          <w:spacing w:val="-11"/>
          <w:sz w:val="44"/>
          <w:szCs w:val="44"/>
          <w:shd w:val="clear" w:fill="FFFFFF"/>
          <w:lang w:eastAsia="zh-CN"/>
        </w:rPr>
      </w:pPr>
      <w:r>
        <w:rPr>
          <w:rFonts w:hint="eastAsia" w:ascii="黑体" w:hAnsi="黑体" w:eastAsia="黑体" w:cs="黑体"/>
          <w:i w:val="0"/>
          <w:iCs w:val="0"/>
          <w:caps w:val="0"/>
          <w:color w:val="555555"/>
          <w:spacing w:val="-11"/>
          <w:sz w:val="44"/>
          <w:szCs w:val="44"/>
          <w:shd w:val="clear" w:fill="FFFFFF"/>
          <w:lang w:eastAsia="zh-CN"/>
        </w:rPr>
        <w:t>仙游县瑞峰产业园</w:t>
      </w:r>
      <w:r>
        <w:rPr>
          <w:rFonts w:hint="eastAsia" w:ascii="黑体" w:hAnsi="黑体" w:eastAsia="黑体" w:cs="黑体"/>
          <w:i w:val="0"/>
          <w:iCs w:val="0"/>
          <w:caps w:val="0"/>
          <w:color w:val="555555"/>
          <w:spacing w:val="-11"/>
          <w:sz w:val="44"/>
          <w:szCs w:val="44"/>
          <w:shd w:val="clear" w:fill="FFFFFF"/>
          <w:lang w:val="en-US" w:eastAsia="zh-CN"/>
        </w:rPr>
        <w:t>北</w:t>
      </w:r>
      <w:r>
        <w:rPr>
          <w:rFonts w:hint="eastAsia" w:ascii="黑体" w:hAnsi="黑体" w:eastAsia="黑体" w:cs="黑体"/>
          <w:i w:val="0"/>
          <w:iCs w:val="0"/>
          <w:caps w:val="0"/>
          <w:color w:val="555555"/>
          <w:spacing w:val="-11"/>
          <w:sz w:val="44"/>
          <w:szCs w:val="44"/>
          <w:shd w:val="clear" w:fill="FFFFFF"/>
          <w:lang w:eastAsia="zh-CN"/>
        </w:rPr>
        <w:t>片区土地征收</w:t>
      </w:r>
    </w:p>
    <w:p>
      <w:pPr>
        <w:pageBreakBefore w:val="0"/>
        <w:widowControl/>
        <w:tabs>
          <w:tab w:val="left" w:pos="2730"/>
        </w:tabs>
        <w:kinsoku/>
        <w:wordWrap/>
        <w:topLinePunct w:val="0"/>
        <w:autoSpaceDE/>
        <w:autoSpaceDN/>
        <w:bidi w:val="0"/>
        <w:spacing w:line="560" w:lineRule="exact"/>
        <w:jc w:val="center"/>
        <w:textAlignment w:val="auto"/>
        <w:outlineLvl w:val="1"/>
        <w:rPr>
          <w:rFonts w:hint="eastAsia" w:ascii="黑体" w:hAnsi="黑体" w:eastAsia="黑体" w:cs="黑体"/>
          <w:i w:val="0"/>
          <w:iCs w:val="0"/>
          <w:caps w:val="0"/>
          <w:color w:val="555555"/>
          <w:spacing w:val="-11"/>
          <w:sz w:val="44"/>
          <w:szCs w:val="44"/>
          <w:shd w:val="clear" w:fill="FFFFFF"/>
          <w:lang w:eastAsia="zh-CN"/>
        </w:rPr>
      </w:pPr>
      <w:r>
        <w:rPr>
          <w:rFonts w:hint="eastAsia" w:ascii="黑体" w:hAnsi="黑体" w:eastAsia="黑体" w:cs="黑体"/>
          <w:i w:val="0"/>
          <w:iCs w:val="0"/>
          <w:caps w:val="0"/>
          <w:color w:val="555555"/>
          <w:spacing w:val="-11"/>
          <w:sz w:val="44"/>
          <w:szCs w:val="44"/>
          <w:shd w:val="clear" w:fill="FFFFFF"/>
          <w:lang w:eastAsia="zh-CN"/>
        </w:rPr>
        <w:t>成片开发方案</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一、编制依据</w:t>
      </w:r>
      <w:r>
        <w:rPr>
          <w:rFonts w:ascii="Times New Roman" w:hAnsi="Times New Roman" w:eastAsia="黑体" w:cs="Times New Roman"/>
          <w:kern w:val="0"/>
          <w:sz w:val="31"/>
          <w:szCs w:val="31"/>
          <w:lang w:bidi="ar"/>
        </w:rPr>
        <w:tab/>
      </w:r>
    </w:p>
    <w:p>
      <w:pPr>
        <w:pageBreakBefore w:val="0"/>
        <w:kinsoku/>
        <w:wordWrap/>
        <w:overflowPunct w:val="0"/>
        <w:topLinePunct w:val="0"/>
        <w:autoSpaceDE/>
        <w:autoSpaceDN/>
        <w:bidi w:val="0"/>
        <w:spacing w:line="560" w:lineRule="exact"/>
        <w:ind w:firstLine="600" w:firstLineChars="200"/>
        <w:jc w:val="left"/>
        <w:textAlignment w:val="auto"/>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依据《中华人民共和国土地管理法》（2019年修正版）、《土地征收成片开发标准》、《国土空间调查、规划、用途管制用地用海分类指南》（试行）、《仙游县国民经济和社会发展第十四个五年规划和二〇三五年远景目标纲要》编制《仙游县三房山机制砂产业园片区土地征收成片开发</w:t>
      </w:r>
      <w:r>
        <w:rPr>
          <w:rFonts w:hint="eastAsia" w:ascii="仿宋_GB2312" w:hAnsi="仿宋_GB2312" w:eastAsia="仿宋_GB2312" w:cs="仿宋_GB2312"/>
          <w:color w:val="000000"/>
          <w:kern w:val="0"/>
          <w:sz w:val="30"/>
          <w:szCs w:val="30"/>
          <w:lang w:eastAsia="zh-CN" w:bidi="ar"/>
        </w:rPr>
        <w:t>方案</w:t>
      </w:r>
      <w:r>
        <w:rPr>
          <w:rFonts w:hint="eastAsia" w:ascii="仿宋_GB2312" w:hAnsi="仿宋_GB2312" w:eastAsia="仿宋_GB2312" w:cs="仿宋_GB2312"/>
          <w:color w:val="000000"/>
          <w:kern w:val="0"/>
          <w:sz w:val="30"/>
          <w:szCs w:val="30"/>
          <w:lang w:bidi="ar"/>
        </w:rPr>
        <w:t>》。</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二、基本情况</w:t>
      </w:r>
    </w:p>
    <w:p>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本方案涉及盖尾镇琼峰村、云庄村</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共1个镇2个村和1个国有单位，成片开发面积16.1565公顷。本片区范围未涉及省级和国家级开发区。</w:t>
      </w:r>
    </w:p>
    <w:p>
      <w:pPr>
        <w:pStyle w:val="21"/>
        <w:pageBreakBefore w:val="0"/>
        <w:kinsoku/>
        <w:wordWrap/>
        <w:topLinePunct w:val="0"/>
        <w:autoSpaceDE/>
        <w:autoSpaceDN/>
        <w:bidi w:val="0"/>
        <w:spacing w:line="56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本成片开发方案范围总面积16.156</w:t>
      </w:r>
      <w:r>
        <w:rPr>
          <w:rFonts w:hint="eastAsia" w:ascii="仿宋" w:hAnsi="仿宋" w:eastAsia="仿宋" w:cs="仿宋"/>
          <w:color w:val="000000"/>
          <w:kern w:val="0"/>
          <w:sz w:val="30"/>
          <w:szCs w:val="30"/>
          <w:lang w:val="en-US" w:eastAsia="zh-CN"/>
        </w:rPr>
        <w:t>6</w:t>
      </w:r>
      <w:r>
        <w:rPr>
          <w:rFonts w:hint="eastAsia" w:ascii="仿宋" w:hAnsi="仿宋" w:eastAsia="仿宋" w:cs="仿宋"/>
          <w:color w:val="000000"/>
          <w:kern w:val="0"/>
          <w:sz w:val="30"/>
          <w:szCs w:val="30"/>
        </w:rPr>
        <w:t>公顷，其中：农用地14.5582公顷（其中：耕地8.4575公顷），建设用地1.252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公顷，利用地0.3460公顷。</w:t>
      </w:r>
    </w:p>
    <w:p>
      <w:pPr>
        <w:pageBreakBefore w:val="0"/>
        <w:widowControl/>
        <w:numPr>
          <w:ilvl w:val="0"/>
          <w:numId w:val="2"/>
        </w:numPr>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项目的必要性</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bookmarkStart w:id="0" w:name="_Toc14013"/>
      <w:r>
        <w:rPr>
          <w:rFonts w:hint="eastAsia" w:ascii="Times New Roman" w:hAnsi="Times New Roman" w:eastAsia="黑体" w:cs="Times New Roman"/>
          <w:kern w:val="0"/>
          <w:sz w:val="31"/>
          <w:szCs w:val="31"/>
          <w:lang w:bidi="ar"/>
        </w:rPr>
        <w:t>(一)必要性分析</w:t>
      </w:r>
      <w:bookmarkEnd w:id="0"/>
    </w:p>
    <w:p>
      <w:pPr>
        <w:pageBreakBefore w:val="0"/>
        <w:widowControl/>
        <w:tabs>
          <w:tab w:val="left" w:pos="2730"/>
        </w:tabs>
        <w:kinsoku/>
        <w:wordWrap/>
        <w:topLinePunct w:val="0"/>
        <w:autoSpaceDE/>
        <w:autoSpaceDN/>
        <w:bidi w:val="0"/>
        <w:spacing w:line="560" w:lineRule="exact"/>
        <w:ind w:firstLine="310" w:firstLineChars="100"/>
        <w:jc w:val="left"/>
        <w:textAlignment w:val="auto"/>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1、以电子核心基础产业为主导，积极建设精密仪器产业集群，不断提升产业竞争力。</w:t>
      </w:r>
    </w:p>
    <w:p>
      <w:pPr>
        <w:pageBreakBefore w:val="0"/>
        <w:widowControl/>
        <w:tabs>
          <w:tab w:val="left" w:pos="2730"/>
        </w:tabs>
        <w:kinsoku/>
        <w:wordWrap/>
        <w:topLinePunct w:val="0"/>
        <w:autoSpaceDE/>
        <w:autoSpaceDN/>
        <w:bidi w:val="0"/>
        <w:spacing w:line="560" w:lineRule="exact"/>
        <w:ind w:firstLine="600" w:firstLineChars="200"/>
        <w:jc w:val="left"/>
        <w:textAlignment w:val="auto"/>
        <w:outlineLvl w:val="1"/>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精密仪器广泛应用于科研、国防、工业制造及人民生活等领域，其研发与制造能力是国家高新技术发展水平的重要标志。先进制造技术，特别是未来的智能制造技术必须有大量精密测量仪器与装备作为支撑。随着我国科技进步和新兴产业的发展，我国科研仪器市场潜力巨大，科研仪器需求十分旺盛，已经成为世界仪器增长的强劲动力。精密仪器作为电子信息产业的上游产业，能以市场为导向，不断吸引上下游产业的企业往长泰集聚，提升产业竞争力。</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2、符合仙游县招商引资的实际需求，有助于开启产城融合新模式。</w:t>
      </w:r>
    </w:p>
    <w:p>
      <w:pPr>
        <w:pageBreakBefore w:val="0"/>
        <w:widowControl/>
        <w:tabs>
          <w:tab w:val="left" w:pos="2730"/>
        </w:tabs>
        <w:kinsoku/>
        <w:wordWrap/>
        <w:topLinePunct w:val="0"/>
        <w:autoSpaceDE/>
        <w:autoSpaceDN/>
        <w:bidi w:val="0"/>
        <w:spacing w:line="560" w:lineRule="exact"/>
        <w:ind w:firstLine="600" w:firstLineChars="200"/>
        <w:jc w:val="left"/>
        <w:textAlignment w:val="auto"/>
        <w:outlineLvl w:val="1"/>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瑞峰产业园是集产业生产、科技研发、居住配套、生态休闲等功能为一体的产城融合示范区。本片区重点发展电子元器件等产业，与仙游县其他片区的发展定位既有差异化又有协同化。本项目实施建设，可以进一步完善区域产业链和配套服务，加强组团内部的生活及生产性服务业的合理配套，同时也可以增强片区之间的联系，降低企业的生产成本，促进产城融合发展。能够实现城市土地集约化，提升土地价值，扩大产业空间，加速产业聚集。</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 xml:space="preserve"> 3、符合国家高质量发展战略规划，助推电子信息产业高质量发展。</w:t>
      </w:r>
    </w:p>
    <w:p>
      <w:pPr>
        <w:pageBreakBefore w:val="0"/>
        <w:widowControl/>
        <w:tabs>
          <w:tab w:val="left" w:pos="2730"/>
        </w:tabs>
        <w:kinsoku/>
        <w:wordWrap/>
        <w:topLinePunct w:val="0"/>
        <w:autoSpaceDE/>
        <w:autoSpaceDN/>
        <w:bidi w:val="0"/>
        <w:spacing w:line="560" w:lineRule="exact"/>
        <w:ind w:firstLine="600" w:firstLineChars="200"/>
        <w:jc w:val="left"/>
        <w:textAlignment w:val="auto"/>
        <w:outlineLvl w:val="1"/>
        <w:rPr>
          <w:rFonts w:ascii="Times New Roman" w:hAnsi="Times New Roman" w:eastAsia="黑体" w:cs="Times New Roman"/>
          <w:kern w:val="0"/>
          <w:sz w:val="31"/>
          <w:szCs w:val="31"/>
          <w:lang w:bidi="ar"/>
        </w:rPr>
      </w:pPr>
      <w:r>
        <w:rPr>
          <w:rFonts w:hint="eastAsia" w:ascii="仿宋" w:hAnsi="仿宋" w:eastAsia="仿宋" w:cs="仿宋"/>
          <w:color w:val="000000"/>
          <w:kern w:val="0"/>
          <w:sz w:val="30"/>
          <w:szCs w:val="30"/>
          <w:lang w:val="en-US" w:eastAsia="zh-CN" w:bidi="ar-SA"/>
        </w:rPr>
        <w:t>电子信息产业作为高新技术产业领域最具发展活力的新兴产业之一，是新一轮科技革命和产业变革的核心驱动，是拉动区域经济发展的强劲引擎。仙游县持续优化产业结构，在高新电子信息产业领域发力。建设仙游电子信息产业园项目，通过“轻资产、重资本”的做法，由政府国资企业统一代建，助推项目快速落地，建成后将向电子信息产业重点招引成长型的“专、精、特、新”中小企业。扩大市场份额，不断增强核心竞争力。符合新发展格局下电子信息产业发展的需求。因此，本项目属于国家支持的政策方向，符合国家发展战略规划，降为仙游县经济社会发展开辟出了新的赛道，推动电子信息产业实现高质量发展。</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bookmarkStart w:id="1" w:name="_Toc9616"/>
      <w:r>
        <w:rPr>
          <w:rFonts w:hint="eastAsia" w:ascii="Times New Roman" w:hAnsi="Times New Roman" w:eastAsia="黑体" w:cs="Times New Roman"/>
          <w:kern w:val="0"/>
          <w:sz w:val="31"/>
          <w:szCs w:val="31"/>
          <w:lang w:bidi="ar"/>
        </w:rPr>
        <w:t>(二)科学合理性分析</w:t>
      </w:r>
      <w:bookmarkEnd w:id="1"/>
    </w:p>
    <w:p>
      <w:pPr>
        <w:pageBreakBefore w:val="0"/>
        <w:widowControl/>
        <w:tabs>
          <w:tab w:val="left" w:pos="2730"/>
        </w:tabs>
        <w:kinsoku/>
        <w:wordWrap/>
        <w:topLinePunct w:val="0"/>
        <w:autoSpaceDE/>
        <w:autoSpaceDN/>
        <w:bidi w:val="0"/>
        <w:spacing w:line="560" w:lineRule="exact"/>
        <w:ind w:firstLine="620" w:firstLineChars="200"/>
        <w:jc w:val="left"/>
        <w:textAlignment w:val="auto"/>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 xml:space="preserve">1.选址科学合理 </w:t>
      </w:r>
    </w:p>
    <w:p>
      <w:pPr>
        <w:pageBreakBefore w:val="0"/>
        <w:widowControl/>
        <w:tabs>
          <w:tab w:val="left" w:pos="2730"/>
        </w:tabs>
        <w:kinsoku/>
        <w:wordWrap/>
        <w:topLinePunct w:val="0"/>
        <w:autoSpaceDE/>
        <w:autoSpaceDN/>
        <w:bidi w:val="0"/>
        <w:spacing w:line="560" w:lineRule="exact"/>
        <w:ind w:firstLine="600" w:firstLineChars="200"/>
        <w:jc w:val="left"/>
        <w:textAlignment w:val="auto"/>
        <w:outlineLvl w:val="1"/>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瑞峰片区涉及的盖尾镇是仙游城县域空间结构“一脊、一环、三心、三片”中重要节点，该片区是仙游县“强产业、兴城市”三年行动计划暨十四五规划重点改造区域。仙游县中心城区与瑞峰片区毗邻，项目区位交通条件优越，可以与城区产生良好互动，形成产业集群及规模效应。片区所在区域地势南高北底，有10-15米高差，但未发现特别不良工程地质现象，无大的区域构造带通过，无活动性断裂构造带发育，自然状态下未发生坍塌、滑坡、泥石流等地质灾害；根据周边项目钻孔揭露，未发现土洞等不良地质作用，地质灾害的危险性小，不良地质作用不发育，区域地质稳定性较好。此外，方案内未占用永久基本农田保护区、生态保护红线及其他各类保护区，不涉及河道蓝线。</w:t>
      </w:r>
    </w:p>
    <w:p>
      <w:pPr>
        <w:pageBreakBefore w:val="0"/>
        <w:widowControl/>
        <w:tabs>
          <w:tab w:val="left" w:pos="2730"/>
        </w:tabs>
        <w:kinsoku/>
        <w:wordWrap/>
        <w:topLinePunct w:val="0"/>
        <w:autoSpaceDE/>
        <w:autoSpaceDN/>
        <w:bidi w:val="0"/>
        <w:spacing w:line="560" w:lineRule="exact"/>
        <w:ind w:firstLine="620" w:firstLineChars="200"/>
        <w:jc w:val="left"/>
        <w:textAlignment w:val="auto"/>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2.功能定位科学合理</w:t>
      </w:r>
    </w:p>
    <w:p>
      <w:pPr>
        <w:pageBreakBefore w:val="0"/>
        <w:widowControl/>
        <w:tabs>
          <w:tab w:val="left" w:pos="2730"/>
        </w:tabs>
        <w:kinsoku/>
        <w:wordWrap/>
        <w:topLinePunct w:val="0"/>
        <w:autoSpaceDE/>
        <w:autoSpaceDN/>
        <w:bidi w:val="0"/>
        <w:spacing w:line="560" w:lineRule="exact"/>
        <w:ind w:firstLine="600" w:firstLineChars="200"/>
        <w:jc w:val="left"/>
        <w:textAlignment w:val="auto"/>
        <w:outlineLvl w:val="1"/>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本次成片开发方案以《仙游县瑞峰产业园控制性详细规划》为基础，结合当地相关部门用地需求，以促进产业发展、划定本次成片开发范围。仙游县十四五规划提出瑞峰产业园发展新一代电子信息产业，打造电子信息高新技术产业园，本片区落地项目以电子元器件生产项目为主，符合该片区的功能定位。本方案充分衔接相关控制详细规划等，定位与产业专项策划研究成果，依托交通区位优势建设电子信息产业标准化厂房，规划以工业用地为主，增加绿地与开敞空间用地，完善公共基础设施功能，功能定位科学合理。</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四、规划土地用途及实现功能分析</w:t>
      </w:r>
    </w:p>
    <w:p>
      <w:pPr>
        <w:pageBreakBefore w:val="0"/>
        <w:widowControl/>
        <w:tabs>
          <w:tab w:val="left" w:pos="2730"/>
        </w:tabs>
        <w:kinsoku/>
        <w:wordWrap/>
        <w:topLinePunct w:val="0"/>
        <w:autoSpaceDE/>
        <w:autoSpaceDN/>
        <w:bidi w:val="0"/>
        <w:spacing w:line="560" w:lineRule="exact"/>
        <w:ind w:firstLine="600" w:firstLineChars="200"/>
        <w:jc w:val="left"/>
        <w:textAlignment w:val="auto"/>
        <w:outlineLvl w:val="1"/>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本方案用地总面积16.1566公顷，主要用途为工业用地。其中：工业用地9.5383公顷，主要用于电子信息产业标准化厂房建设；城镇道路用地2.4921公顷，修建园区道路实现交通路网畅通的功能；水工设施用地0.1892公顷，用于排洪渠建设；防护绿地3.9370公顷，用于绿化安全隔离。</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五、公益性用地情况</w:t>
      </w:r>
    </w:p>
    <w:p>
      <w:pPr>
        <w:pStyle w:val="21"/>
        <w:pageBreakBefore w:val="0"/>
        <w:kinsoku/>
        <w:wordWrap/>
        <w:topLinePunct w:val="0"/>
        <w:autoSpaceDE/>
        <w:autoSpaceDN/>
        <w:bidi w:val="0"/>
        <w:snapToGrid w:val="0"/>
        <w:spacing w:line="560" w:lineRule="exact"/>
        <w:ind w:firstLine="600" w:firstLineChars="200"/>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公益性用地包含城镇道路用地、水工设施用地、防护绿地，合计6.6183公顷，占用地总面积的40.96%，符合自然资规〔2020〕5号文规定。</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六、规划符合情况</w:t>
      </w:r>
    </w:p>
    <w:p>
      <w:pPr>
        <w:pageBreakBefore w:val="0"/>
        <w:kinsoku/>
        <w:wordWrap/>
        <w:topLinePunct w:val="0"/>
        <w:autoSpaceDE/>
        <w:autoSpaceDN/>
        <w:bidi w:val="0"/>
        <w:spacing w:line="560" w:lineRule="exact"/>
        <w:ind w:firstLine="600"/>
        <w:textAlignment w:val="auto"/>
        <w:rPr>
          <w:rFonts w:ascii="Times New Roman" w:hAnsi="Times New Roman" w:eastAsia="仿宋_GB2312" w:cs="Times New Roman"/>
          <w:sz w:val="32"/>
          <w:szCs w:val="32"/>
        </w:rPr>
      </w:pPr>
      <w:r>
        <w:rPr>
          <w:rFonts w:hint="eastAsia" w:ascii="仿宋" w:hAnsi="仿宋" w:eastAsia="仿宋" w:cs="仿宋"/>
          <w:color w:val="000000"/>
          <w:kern w:val="0"/>
          <w:sz w:val="30"/>
          <w:szCs w:val="30"/>
          <w:lang w:val="en-US" w:eastAsia="zh-CN" w:bidi="ar-SA"/>
        </w:rPr>
        <w:t>本方案符合国民经济和社会发展规划的发展定位、要求，有利于完成规划目标、任务，已纳入国民经济和社会发展年度计划。本次成片开发范围已位于城镇开发边界的集中建设区内，仙游县人民政府已将成片开发方案纳入正在编制规划期至2035年的国土空间规划及“一张图”，符合规划管控要求。</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七</w:t>
      </w:r>
      <w:r>
        <w:rPr>
          <w:rFonts w:ascii="Times New Roman" w:hAnsi="Times New Roman" w:eastAsia="黑体" w:cs="Times New Roman"/>
          <w:kern w:val="0"/>
          <w:sz w:val="31"/>
          <w:szCs w:val="31"/>
          <w:lang w:bidi="ar"/>
        </w:rPr>
        <w:t>、效益评估</w:t>
      </w:r>
    </w:p>
    <w:p>
      <w:pPr>
        <w:pStyle w:val="24"/>
        <w:pageBreakBefore w:val="0"/>
        <w:kinsoku/>
        <w:wordWrap/>
        <w:topLinePunct w:val="0"/>
        <w:autoSpaceDE/>
        <w:autoSpaceDN/>
        <w:bidi w:val="0"/>
        <w:spacing w:before="156" w:beforeLines="50" w:after="156" w:afterLines="50" w:line="560" w:lineRule="exact"/>
        <w:ind w:firstLine="602" w:firstLineChars="200"/>
        <w:rPr>
          <w:rFonts w:ascii="仿宋" w:hAnsi="仿宋" w:eastAsia="仿宋" w:cs="仿宋"/>
          <w:kern w:val="0"/>
          <w:sz w:val="30"/>
          <w:szCs w:val="30"/>
        </w:rPr>
      </w:pPr>
      <w:bookmarkStart w:id="2" w:name="_Toc11637"/>
      <w:r>
        <w:rPr>
          <w:rFonts w:hint="eastAsia" w:ascii="仿宋" w:hAnsi="仿宋" w:eastAsia="仿宋" w:cs="仿宋"/>
          <w:kern w:val="0"/>
          <w:sz w:val="30"/>
          <w:szCs w:val="30"/>
        </w:rPr>
        <w:t>（一）土地利用效益</w:t>
      </w:r>
      <w:bookmarkEnd w:id="2"/>
    </w:p>
    <w:p>
      <w:pPr>
        <w:pStyle w:val="21"/>
        <w:pageBreakBefore w:val="0"/>
        <w:kinsoku/>
        <w:wordWrap/>
        <w:topLinePunct w:val="0"/>
        <w:autoSpaceDE/>
        <w:autoSpaceDN/>
        <w:bidi w:val="0"/>
        <w:snapToGrid w:val="0"/>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方案通过采取合理确定出让土地的宗地规模、严格落实工业和经营性用地招标拍卖挂牌出让制度、强化用地合同管理等节约集约用地措施，合理安排用地规模、结构和布局，优化土地利用空间格局，因地制宜配置用地，本次成片开发拟建设红木智能家具标准化厂房，项目建成投入使用后地均收入可有效提高，土地利用效益较好。本方案工业用地面积</w:t>
      </w:r>
      <w:r>
        <w:rPr>
          <w:rFonts w:ascii="仿宋" w:hAnsi="仿宋" w:eastAsia="仿宋" w:cs="仿宋"/>
          <w:kern w:val="0"/>
          <w:sz w:val="30"/>
          <w:szCs w:val="30"/>
        </w:rPr>
        <w:t>9.538</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公顷，</w:t>
      </w:r>
      <w:r>
        <w:rPr>
          <w:rFonts w:hint="eastAsia" w:ascii="仿宋" w:hAnsi="仿宋" w:eastAsia="仿宋" w:cs="仿宋"/>
          <w:color w:val="000000"/>
          <w:kern w:val="0"/>
          <w:sz w:val="30"/>
          <w:szCs w:val="30"/>
          <w:lang w:val="en-US" w:eastAsia="zh-CN"/>
        </w:rPr>
        <w:t>工业用地规划容积率不低于2，建筑系数不低于40%，工业用地各项控制指标满足《福建省人民政府关于进一步推</w:t>
      </w:r>
      <w:bookmarkStart w:id="6" w:name="_GoBack"/>
      <w:bookmarkEnd w:id="6"/>
      <w:r>
        <w:rPr>
          <w:rFonts w:hint="eastAsia" w:ascii="仿宋" w:hAnsi="仿宋" w:eastAsia="仿宋" w:cs="仿宋"/>
          <w:color w:val="000000"/>
          <w:kern w:val="0"/>
          <w:sz w:val="30"/>
          <w:szCs w:val="30"/>
          <w:lang w:val="en-US" w:eastAsia="zh-CN"/>
        </w:rPr>
        <w:t>进工用地提质增效促进工业经济高质量发展的通知》（闽政〔2022〕19号）的要求，项目开发建设提高现有用地使用效益，实现土地利用由粗放型向集约型的根本转变，形成布局集中、产业集聚、用地集约的产业园区。</w:t>
      </w:r>
    </w:p>
    <w:p>
      <w:pPr>
        <w:pStyle w:val="24"/>
        <w:pageBreakBefore w:val="0"/>
        <w:kinsoku/>
        <w:wordWrap/>
        <w:topLinePunct w:val="0"/>
        <w:autoSpaceDE/>
        <w:autoSpaceDN/>
        <w:bidi w:val="0"/>
        <w:spacing w:before="156" w:beforeLines="50" w:after="156" w:afterLines="50" w:line="560" w:lineRule="exact"/>
        <w:ind w:firstLine="602" w:firstLineChars="200"/>
        <w:rPr>
          <w:rFonts w:ascii="仿宋" w:hAnsi="仿宋" w:eastAsia="仿宋" w:cs="仿宋"/>
          <w:kern w:val="0"/>
          <w:sz w:val="30"/>
          <w:szCs w:val="30"/>
        </w:rPr>
      </w:pPr>
      <w:bookmarkStart w:id="3" w:name="_Toc26102"/>
      <w:r>
        <w:rPr>
          <w:rFonts w:hint="eastAsia" w:ascii="仿宋" w:hAnsi="仿宋" w:eastAsia="仿宋" w:cs="仿宋"/>
          <w:kern w:val="0"/>
          <w:sz w:val="30"/>
          <w:szCs w:val="30"/>
        </w:rPr>
        <w:t>（二）经济效益</w:t>
      </w:r>
      <w:bookmarkEnd w:id="3"/>
    </w:p>
    <w:p>
      <w:pPr>
        <w:pStyle w:val="21"/>
        <w:pageBreakBefore w:val="0"/>
        <w:kinsoku/>
        <w:wordWrap/>
        <w:topLinePunct w:val="0"/>
        <w:autoSpaceDE/>
        <w:autoSpaceDN/>
        <w:bidi w:val="0"/>
        <w:snapToGrid w:val="0"/>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该地块拟作为</w:t>
      </w:r>
      <w:r>
        <w:rPr>
          <w:rFonts w:hint="eastAsia" w:ascii="仿宋" w:hAnsi="仿宋" w:eastAsia="仿宋" w:cs="仿宋"/>
          <w:kern w:val="0"/>
          <w:sz w:val="30"/>
          <w:szCs w:val="30"/>
        </w:rPr>
        <w:t>智能家具标准化厂房</w:t>
      </w:r>
      <w:r>
        <w:rPr>
          <w:rFonts w:hint="eastAsia" w:ascii="仿宋" w:hAnsi="仿宋" w:eastAsia="仿宋" w:cs="仿宋"/>
          <w:color w:val="000000"/>
          <w:kern w:val="0"/>
          <w:sz w:val="30"/>
          <w:szCs w:val="30"/>
        </w:rPr>
        <w:t>建设，有助于打造龙头企业，完善企业产业链条，提高企业创新力和竞争力，促使企业向专业化、社会化发展，有利于形成产业集群，促进区域经济发展。本方案成片开发预计用于工业用地面积</w:t>
      </w:r>
      <w:r>
        <w:rPr>
          <w:rFonts w:ascii="仿宋" w:hAnsi="仿宋" w:eastAsia="仿宋" w:cs="仿宋"/>
          <w:kern w:val="0"/>
          <w:sz w:val="30"/>
          <w:szCs w:val="30"/>
        </w:rPr>
        <w:t>9.5382</w:t>
      </w:r>
      <w:r>
        <w:rPr>
          <w:rFonts w:hint="eastAsia" w:ascii="仿宋" w:hAnsi="仿宋" w:eastAsia="仿宋" w:cs="仿宋"/>
          <w:color w:val="000000"/>
          <w:kern w:val="0"/>
          <w:sz w:val="30"/>
          <w:szCs w:val="30"/>
        </w:rPr>
        <w:t>公顷，固定资产投资为80万元/亩，地均税收每年约为20万元/亩,总固定资产投资约0.25亿元，增加新的税收增长点。</w:t>
      </w:r>
    </w:p>
    <w:p>
      <w:pPr>
        <w:pStyle w:val="24"/>
        <w:pageBreakBefore w:val="0"/>
        <w:kinsoku/>
        <w:wordWrap/>
        <w:topLinePunct w:val="0"/>
        <w:autoSpaceDE/>
        <w:autoSpaceDN/>
        <w:bidi w:val="0"/>
        <w:spacing w:before="156" w:beforeLines="50" w:after="156" w:afterLines="50" w:line="560" w:lineRule="exact"/>
        <w:ind w:firstLine="602" w:firstLineChars="200"/>
        <w:rPr>
          <w:rFonts w:ascii="仿宋" w:hAnsi="仿宋" w:eastAsia="仿宋" w:cs="仿宋"/>
          <w:kern w:val="0"/>
          <w:sz w:val="30"/>
          <w:szCs w:val="30"/>
        </w:rPr>
      </w:pPr>
      <w:bookmarkStart w:id="4" w:name="_Toc26483"/>
      <w:r>
        <w:rPr>
          <w:rFonts w:hint="eastAsia" w:ascii="仿宋" w:hAnsi="仿宋" w:eastAsia="仿宋" w:cs="仿宋"/>
          <w:kern w:val="0"/>
          <w:sz w:val="30"/>
          <w:szCs w:val="30"/>
        </w:rPr>
        <w:t>（三）社会效益</w:t>
      </w:r>
      <w:bookmarkEnd w:id="4"/>
    </w:p>
    <w:p>
      <w:pPr>
        <w:pageBreakBefore w:val="0"/>
        <w:kinsoku/>
        <w:wordWrap/>
        <w:topLinePunct w:val="0"/>
        <w:autoSpaceDE/>
        <w:autoSpaceDN/>
        <w:bidi w:val="0"/>
        <w:adjustRightInd w:val="0"/>
        <w:snapToGrid w:val="0"/>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该项目建成后，产业的发展需要吸纳大量的劳动力，可为当地提供3</w:t>
      </w:r>
      <w:r>
        <w:rPr>
          <w:rFonts w:hint="eastAsia" w:eastAsia="仿宋_GB2312"/>
          <w:color w:val="000000"/>
          <w:sz w:val="32"/>
          <w:szCs w:val="32"/>
          <w:shd w:val="clear" w:color="auto" w:fill="FFFFFF"/>
        </w:rPr>
        <w:t>00</w:t>
      </w:r>
      <w:r>
        <w:rPr>
          <w:rFonts w:eastAsia="仿宋_GB2312"/>
          <w:color w:val="000000"/>
          <w:sz w:val="32"/>
          <w:szCs w:val="32"/>
          <w:shd w:val="clear" w:color="auto" w:fill="FFFFFF"/>
        </w:rPr>
        <w:t>个就业岗位，解决部分剩余劳动力就业问题，增加当地居民的收入，从而缓解社会就业压力。此外，随着企业的入驻，也将带动区域住宿、餐饮服务第三产业的发展，使原从事农业生产的居民就业渠道得以拓宽，有利于消除社会不稳定因素，促进社会和谐、稳定、健康发展。</w:t>
      </w:r>
      <w:r>
        <w:rPr>
          <w:rFonts w:eastAsia="仿宋_GB2312"/>
          <w:sz w:val="32"/>
          <w:szCs w:val="32"/>
        </w:rPr>
        <w:t>本方案成片开发区域内用地性质是综合多样的，既有公益性用地，也有工业用地，整体基础设施由政府统一供给，在统一规划指导下实施建设。公益性用地的比例</w:t>
      </w:r>
      <w:r>
        <w:rPr>
          <w:rFonts w:hint="eastAsia" w:eastAsia="仿宋_GB2312"/>
          <w:sz w:val="32"/>
          <w:szCs w:val="32"/>
        </w:rPr>
        <w:t>超过</w:t>
      </w:r>
      <w:r>
        <w:rPr>
          <w:rFonts w:eastAsia="仿宋_GB2312"/>
          <w:sz w:val="32"/>
          <w:szCs w:val="32"/>
        </w:rPr>
        <w:t>40%，在土地开发过程中将不同规划用途土地上产生的增值收益进行公平分配，保障区域统一的配套建设，补足公共服务短板。</w:t>
      </w:r>
    </w:p>
    <w:p>
      <w:pPr>
        <w:pStyle w:val="24"/>
        <w:pageBreakBefore w:val="0"/>
        <w:numPr>
          <w:ilvl w:val="1"/>
          <w:numId w:val="0"/>
        </w:numPr>
        <w:kinsoku/>
        <w:wordWrap/>
        <w:topLinePunct w:val="0"/>
        <w:autoSpaceDE/>
        <w:autoSpaceDN/>
        <w:bidi w:val="0"/>
        <w:spacing w:before="156" w:beforeLines="50" w:after="156" w:afterLines="50" w:line="560" w:lineRule="exact"/>
        <w:ind w:firstLine="602" w:firstLineChars="200"/>
        <w:rPr>
          <w:rFonts w:ascii="仿宋" w:hAnsi="仿宋" w:eastAsia="仿宋" w:cs="仿宋"/>
          <w:color w:val="000000"/>
          <w:kern w:val="0"/>
          <w:sz w:val="30"/>
          <w:szCs w:val="30"/>
        </w:rPr>
      </w:pPr>
      <w:bookmarkStart w:id="5" w:name="_Toc30445"/>
      <w:r>
        <w:rPr>
          <w:rFonts w:hint="eastAsia" w:ascii="仿宋" w:hAnsi="仿宋" w:eastAsia="仿宋" w:cs="仿宋"/>
          <w:color w:val="000000"/>
          <w:kern w:val="0"/>
          <w:sz w:val="30"/>
          <w:szCs w:val="30"/>
        </w:rPr>
        <w:t>（四）生态效益</w:t>
      </w:r>
      <w:bookmarkEnd w:id="5"/>
    </w:p>
    <w:p>
      <w:pPr>
        <w:pStyle w:val="21"/>
        <w:pageBreakBefore w:val="0"/>
        <w:kinsoku/>
        <w:wordWrap/>
        <w:topLinePunct w:val="0"/>
        <w:autoSpaceDE/>
        <w:autoSpaceDN/>
        <w:bidi w:val="0"/>
        <w:snapToGrid w:val="0"/>
        <w:spacing w:line="560" w:lineRule="exact"/>
        <w:ind w:firstLine="600" w:firstLineChars="200"/>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本方案拟建设防护绿地</w:t>
      </w:r>
      <w:r>
        <w:rPr>
          <w:rFonts w:hint="default" w:ascii="仿宋" w:hAnsi="仿宋" w:eastAsia="仿宋" w:cs="仿宋"/>
          <w:color w:val="000000"/>
          <w:kern w:val="0"/>
          <w:sz w:val="30"/>
          <w:szCs w:val="30"/>
          <w:lang w:val="en-US" w:eastAsia="zh-CN"/>
        </w:rPr>
        <w:t>3.9370</w:t>
      </w:r>
      <w:r>
        <w:rPr>
          <w:rFonts w:hint="eastAsia" w:ascii="仿宋" w:hAnsi="仿宋" w:eastAsia="仿宋" w:cs="仿宋"/>
          <w:color w:val="000000"/>
          <w:kern w:val="0"/>
          <w:sz w:val="30"/>
          <w:szCs w:val="30"/>
          <w:lang w:val="en-US" w:eastAsia="zh-CN"/>
        </w:rPr>
        <w:t>公顷，将提高片区内环境质量，改善生态环境，在减少水域污染、降低噪音等诸方面发挥作用。</w:t>
      </w:r>
    </w:p>
    <w:p>
      <w:pPr>
        <w:pStyle w:val="21"/>
        <w:pageBreakBefore w:val="0"/>
        <w:kinsoku/>
        <w:wordWrap/>
        <w:topLinePunct w:val="0"/>
        <w:autoSpaceDE/>
        <w:autoSpaceDN/>
        <w:bidi w:val="0"/>
        <w:snapToGrid w:val="0"/>
        <w:spacing w:line="560" w:lineRule="exact"/>
        <w:ind w:firstLine="600" w:firstLineChars="200"/>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通过集中建设</w:t>
      </w:r>
      <w:r>
        <w:rPr>
          <w:rFonts w:hint="eastAsia" w:ascii="仿宋" w:hAnsi="仿宋" w:eastAsia="仿宋" w:cs="仿宋"/>
          <w:color w:val="000000"/>
          <w:kern w:val="0"/>
          <w:sz w:val="30"/>
          <w:szCs w:val="30"/>
          <w:lang w:val="en-US" w:eastAsia="zh-CN"/>
        </w:rPr>
        <w:t>电子信息产业</w:t>
      </w:r>
      <w:r>
        <w:rPr>
          <w:rFonts w:hint="eastAsia" w:ascii="仿宋" w:hAnsi="仿宋" w:eastAsia="仿宋" w:cs="仿宋"/>
          <w:color w:val="000000"/>
          <w:kern w:val="0"/>
          <w:sz w:val="30"/>
          <w:szCs w:val="30"/>
          <w:lang w:eastAsia="zh-CN"/>
        </w:rPr>
        <w:t>标准化厂房，污水废气及固体废弃物统一收集处理。本方案新建设污水管网长度0.</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lang w:eastAsia="zh-CN"/>
        </w:rPr>
        <w:t>公里，接入市政污水处理管网，在减少水域面源的同时、所有污水经过污水管道收集后接到污水处理厂。噪声方面，制定环境噪声防治管理办法，实施噪声防治管理办法，重点控制交通噪声污染。固体废弃物方面，集中收集，定时由环卫部门统一清运处理，垃圾可得到及时妥善处理，实现垃圾减量化、无害化、资源化的目标。</w:t>
      </w:r>
      <w:r>
        <w:rPr>
          <w:rFonts w:hint="eastAsia" w:ascii="仿宋" w:hAnsi="仿宋" w:eastAsia="仿宋" w:cs="仿宋"/>
          <w:color w:val="000000"/>
          <w:kern w:val="0"/>
          <w:sz w:val="30"/>
          <w:szCs w:val="30"/>
          <w:lang w:val="en-US" w:eastAsia="zh-CN"/>
        </w:rPr>
        <w:t>开发建设过程中，将严格按照《工矿用地土壤环境管理办法(试行)》第七条要求，开展工矿用地土壤和地下水环境现状调查。</w:t>
      </w:r>
      <w:r>
        <w:rPr>
          <w:rFonts w:hint="eastAsia" w:ascii="仿宋" w:hAnsi="仿宋" w:eastAsia="仿宋" w:cs="仿宋"/>
          <w:color w:val="000000"/>
          <w:kern w:val="0"/>
          <w:sz w:val="30"/>
          <w:szCs w:val="30"/>
          <w:lang w:eastAsia="zh-CN"/>
        </w:rPr>
        <w:t>该项目计划通过标准化、规范化、花园式的厂房厂区建设，建成集规范的生产秩序、良好的生产环境、高品位的旅游观光鉴赏为一体的现代产业集群。</w:t>
      </w:r>
    </w:p>
    <w:p>
      <w:pPr>
        <w:pageBreakBefore w:val="0"/>
        <w:kinsoku/>
        <w:wordWrap/>
        <w:overflowPunct w:val="0"/>
        <w:topLinePunct w:val="0"/>
        <w:autoSpaceDE/>
        <w:autoSpaceDN/>
        <w:bidi w:val="0"/>
        <w:spacing w:line="560" w:lineRule="exact"/>
        <w:ind w:firstLine="620" w:firstLineChars="200"/>
        <w:jc w:val="left"/>
        <w:textAlignment w:val="auto"/>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八</w:t>
      </w:r>
      <w:r>
        <w:rPr>
          <w:rFonts w:ascii="Times New Roman" w:hAnsi="Times New Roman" w:eastAsia="黑体" w:cs="Times New Roman"/>
          <w:kern w:val="0"/>
          <w:sz w:val="31"/>
          <w:szCs w:val="31"/>
          <w:lang w:bidi="ar"/>
        </w:rPr>
        <w:t>、结论</w:t>
      </w:r>
    </w:p>
    <w:p>
      <w:pPr>
        <w:pStyle w:val="3"/>
        <w:pageBreakBefore w:val="0"/>
        <w:kinsoku/>
        <w:wordWrap/>
        <w:topLinePunct w:val="0"/>
        <w:autoSpaceDE/>
        <w:autoSpaceDN/>
        <w:bidi w:val="0"/>
        <w:spacing w:before="0" w:after="0" w:line="560" w:lineRule="exact"/>
        <w:ind w:firstLine="620" w:firstLineChars="200"/>
        <w:textAlignment w:val="auto"/>
        <w:rPr>
          <w:rFonts w:hint="eastAsia" w:ascii="Times New Roman" w:hAnsi="Times New Roman" w:eastAsia="仿宋_GB2312" w:cs="Times New Roman"/>
          <w:b w:val="0"/>
          <w:bCs w:val="0"/>
          <w:kern w:val="0"/>
          <w:sz w:val="31"/>
          <w:szCs w:val="31"/>
          <w:lang w:val="en-US" w:eastAsia="zh-CN" w:bidi="ar"/>
        </w:rPr>
        <w:sectPr>
          <w:pgSz w:w="11906" w:h="16838"/>
          <w:pgMar w:top="1440" w:right="1797" w:bottom="1440" w:left="1797" w:header="851" w:footer="992" w:gutter="0"/>
          <w:cols w:space="425" w:num="1"/>
          <w:docGrid w:type="lines" w:linePitch="312" w:charSpace="0"/>
        </w:sectPr>
      </w:pPr>
      <w:r>
        <w:rPr>
          <w:rFonts w:hint="eastAsia" w:ascii="Times New Roman" w:hAnsi="Times New Roman" w:eastAsia="仿宋_GB2312" w:cs="Times New Roman"/>
          <w:b w:val="0"/>
          <w:bCs w:val="0"/>
          <w:kern w:val="0"/>
          <w:sz w:val="31"/>
          <w:szCs w:val="31"/>
          <w:lang w:val="en-US" w:eastAsia="zh-CN" w:bidi="ar"/>
        </w:rPr>
        <w:t>仙游县瑞峰产业园北片区土地征收成片开发方案符合土地征收成片开发的标准。</w:t>
      </w:r>
    </w:p>
    <w:p>
      <w:pPr>
        <w:jc w:val="center"/>
        <w:rPr>
          <w:rFonts w:hint="eastAsia" w:ascii="Times New Roman" w:hAnsi="Times New Roman" w:eastAsia="仿宋_GB2312" w:cs="Times New Roman"/>
          <w:b/>
          <w:bCs/>
          <w:kern w:val="0"/>
          <w:sz w:val="28"/>
          <w:szCs w:val="28"/>
          <w:lang w:eastAsia="zh-CN" w:bidi="ar"/>
        </w:rPr>
      </w:pPr>
    </w:p>
    <w:p>
      <w:pPr>
        <w:jc w:val="center"/>
        <w:rPr>
          <w:rFonts w:hint="eastAsia" w:ascii="Times New Roman" w:hAnsi="Times New Roman" w:eastAsia="仿宋_GB2312" w:cs="Times New Roman"/>
          <w:b/>
          <w:bCs/>
          <w:kern w:val="0"/>
          <w:sz w:val="28"/>
          <w:szCs w:val="28"/>
          <w:lang w:eastAsia="zh-CN" w:bidi="ar"/>
        </w:rPr>
      </w:pPr>
      <w:r>
        <w:rPr>
          <w:rFonts w:hint="eastAsia" w:ascii="Times New Roman" w:hAnsi="Times New Roman" w:eastAsia="仿宋_GB2312" w:cs="Times New Roman"/>
          <w:b/>
          <w:bCs/>
          <w:kern w:val="0"/>
          <w:sz w:val="28"/>
          <w:szCs w:val="28"/>
          <w:lang w:eastAsia="zh-CN" w:bidi="ar"/>
        </w:rPr>
        <w:drawing>
          <wp:inline distT="0" distB="0" distL="114300" distR="114300">
            <wp:extent cx="6635750" cy="4695190"/>
            <wp:effectExtent l="0" t="0" r="12700" b="10160"/>
            <wp:docPr id="1" name="图片 1" descr="成片开发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片开发位置示意图"/>
                    <pic:cNvPicPr>
                      <a:picLocks noChangeAspect="1"/>
                    </pic:cNvPicPr>
                  </pic:nvPicPr>
                  <pic:blipFill>
                    <a:blip r:embed="rId4"/>
                    <a:stretch>
                      <a:fillRect/>
                    </a:stretch>
                  </pic:blipFill>
                  <pic:spPr>
                    <a:xfrm>
                      <a:off x="0" y="0"/>
                      <a:ext cx="6635750" cy="4695190"/>
                    </a:xfrm>
                    <a:prstGeom prst="rect">
                      <a:avLst/>
                    </a:prstGeom>
                  </pic:spPr>
                </pic:pic>
              </a:graphicData>
            </a:graphic>
          </wp:inline>
        </w:drawing>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86"/>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24"/>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121519E2"/>
    <w:multiLevelType w:val="singleLevel"/>
    <w:tmpl w:val="121519E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OWFhY2NiZDk0ZWZhZWZkNzJlOGIwMjY4MTcyMjMifQ=="/>
  </w:docVars>
  <w:rsids>
    <w:rsidRoot w:val="009C2A55"/>
    <w:rsid w:val="000006D4"/>
    <w:rsid w:val="00004EBC"/>
    <w:rsid w:val="000052D5"/>
    <w:rsid w:val="00023701"/>
    <w:rsid w:val="00041CCE"/>
    <w:rsid w:val="0005467B"/>
    <w:rsid w:val="00060D4F"/>
    <w:rsid w:val="00077062"/>
    <w:rsid w:val="00077726"/>
    <w:rsid w:val="00093DD0"/>
    <w:rsid w:val="000969B3"/>
    <w:rsid w:val="000B3D7B"/>
    <w:rsid w:val="000B48FD"/>
    <w:rsid w:val="000B6C40"/>
    <w:rsid w:val="000D4EF6"/>
    <w:rsid w:val="000F02CA"/>
    <w:rsid w:val="00105092"/>
    <w:rsid w:val="0013207B"/>
    <w:rsid w:val="001419A4"/>
    <w:rsid w:val="00161B0D"/>
    <w:rsid w:val="00161FC2"/>
    <w:rsid w:val="00170EC6"/>
    <w:rsid w:val="00190AD9"/>
    <w:rsid w:val="001B0248"/>
    <w:rsid w:val="001B2602"/>
    <w:rsid w:val="001F00F4"/>
    <w:rsid w:val="0020783F"/>
    <w:rsid w:val="00212546"/>
    <w:rsid w:val="00244970"/>
    <w:rsid w:val="0024707F"/>
    <w:rsid w:val="00262566"/>
    <w:rsid w:val="00290531"/>
    <w:rsid w:val="002B00A2"/>
    <w:rsid w:val="002F75B2"/>
    <w:rsid w:val="00310F42"/>
    <w:rsid w:val="00312A11"/>
    <w:rsid w:val="003135AD"/>
    <w:rsid w:val="00314F42"/>
    <w:rsid w:val="00336077"/>
    <w:rsid w:val="00347784"/>
    <w:rsid w:val="00353FAA"/>
    <w:rsid w:val="0036787B"/>
    <w:rsid w:val="003748F3"/>
    <w:rsid w:val="0039266A"/>
    <w:rsid w:val="003D5B2E"/>
    <w:rsid w:val="003E761A"/>
    <w:rsid w:val="003F074B"/>
    <w:rsid w:val="00451BE2"/>
    <w:rsid w:val="00455CD3"/>
    <w:rsid w:val="00461CF3"/>
    <w:rsid w:val="004B49AE"/>
    <w:rsid w:val="004E5550"/>
    <w:rsid w:val="0050081E"/>
    <w:rsid w:val="00503947"/>
    <w:rsid w:val="00504642"/>
    <w:rsid w:val="00524741"/>
    <w:rsid w:val="00535701"/>
    <w:rsid w:val="005501A8"/>
    <w:rsid w:val="00554CF8"/>
    <w:rsid w:val="00555662"/>
    <w:rsid w:val="00555A23"/>
    <w:rsid w:val="0056332F"/>
    <w:rsid w:val="005650B4"/>
    <w:rsid w:val="00565D27"/>
    <w:rsid w:val="00590607"/>
    <w:rsid w:val="005C1199"/>
    <w:rsid w:val="005C2A0C"/>
    <w:rsid w:val="005E3CB7"/>
    <w:rsid w:val="006020C2"/>
    <w:rsid w:val="00605235"/>
    <w:rsid w:val="00605652"/>
    <w:rsid w:val="00607F8A"/>
    <w:rsid w:val="00621E0F"/>
    <w:rsid w:val="006225CE"/>
    <w:rsid w:val="00622DA3"/>
    <w:rsid w:val="00636B05"/>
    <w:rsid w:val="00657DED"/>
    <w:rsid w:val="00661C1C"/>
    <w:rsid w:val="00674F89"/>
    <w:rsid w:val="006A023C"/>
    <w:rsid w:val="006C380A"/>
    <w:rsid w:val="006D3327"/>
    <w:rsid w:val="006D5485"/>
    <w:rsid w:val="006E66D7"/>
    <w:rsid w:val="006F29DB"/>
    <w:rsid w:val="006F5DDB"/>
    <w:rsid w:val="00705170"/>
    <w:rsid w:val="007211B9"/>
    <w:rsid w:val="0075218A"/>
    <w:rsid w:val="007843BB"/>
    <w:rsid w:val="007876D1"/>
    <w:rsid w:val="0079179B"/>
    <w:rsid w:val="007C16D3"/>
    <w:rsid w:val="007D396F"/>
    <w:rsid w:val="007F4EAD"/>
    <w:rsid w:val="00820F82"/>
    <w:rsid w:val="00823E09"/>
    <w:rsid w:val="00834F22"/>
    <w:rsid w:val="00837764"/>
    <w:rsid w:val="0084271A"/>
    <w:rsid w:val="008637CE"/>
    <w:rsid w:val="008641E4"/>
    <w:rsid w:val="0086783F"/>
    <w:rsid w:val="00876841"/>
    <w:rsid w:val="0088296D"/>
    <w:rsid w:val="00883A68"/>
    <w:rsid w:val="00884B9D"/>
    <w:rsid w:val="0088551F"/>
    <w:rsid w:val="008A2E35"/>
    <w:rsid w:val="008F672B"/>
    <w:rsid w:val="00911A4A"/>
    <w:rsid w:val="0092657A"/>
    <w:rsid w:val="009354ED"/>
    <w:rsid w:val="009358C5"/>
    <w:rsid w:val="00975942"/>
    <w:rsid w:val="009A34F4"/>
    <w:rsid w:val="009C11C9"/>
    <w:rsid w:val="009C22F7"/>
    <w:rsid w:val="009C2A55"/>
    <w:rsid w:val="009C2B39"/>
    <w:rsid w:val="009F0041"/>
    <w:rsid w:val="009F7289"/>
    <w:rsid w:val="00A04188"/>
    <w:rsid w:val="00A216AC"/>
    <w:rsid w:val="00A4027A"/>
    <w:rsid w:val="00A40770"/>
    <w:rsid w:val="00A51F81"/>
    <w:rsid w:val="00A64C86"/>
    <w:rsid w:val="00A70A31"/>
    <w:rsid w:val="00A90E3F"/>
    <w:rsid w:val="00A96229"/>
    <w:rsid w:val="00AB4FA1"/>
    <w:rsid w:val="00AF5FDF"/>
    <w:rsid w:val="00AF6DF1"/>
    <w:rsid w:val="00B01908"/>
    <w:rsid w:val="00B21577"/>
    <w:rsid w:val="00B62981"/>
    <w:rsid w:val="00B639B5"/>
    <w:rsid w:val="00B75F03"/>
    <w:rsid w:val="00B7756F"/>
    <w:rsid w:val="00B90F07"/>
    <w:rsid w:val="00BB1789"/>
    <w:rsid w:val="00BB5C3C"/>
    <w:rsid w:val="00C04339"/>
    <w:rsid w:val="00C04F61"/>
    <w:rsid w:val="00C12683"/>
    <w:rsid w:val="00C2749E"/>
    <w:rsid w:val="00C333A6"/>
    <w:rsid w:val="00C352A2"/>
    <w:rsid w:val="00C41A56"/>
    <w:rsid w:val="00C54201"/>
    <w:rsid w:val="00C60CE6"/>
    <w:rsid w:val="00C64F5D"/>
    <w:rsid w:val="00C94A53"/>
    <w:rsid w:val="00CB66FC"/>
    <w:rsid w:val="00CB676F"/>
    <w:rsid w:val="00CE110A"/>
    <w:rsid w:val="00CF0FB7"/>
    <w:rsid w:val="00CF5995"/>
    <w:rsid w:val="00CF7F43"/>
    <w:rsid w:val="00D00AC4"/>
    <w:rsid w:val="00D15989"/>
    <w:rsid w:val="00D30562"/>
    <w:rsid w:val="00D60F24"/>
    <w:rsid w:val="00D631E7"/>
    <w:rsid w:val="00DA1D01"/>
    <w:rsid w:val="00DB4013"/>
    <w:rsid w:val="00DB5ADD"/>
    <w:rsid w:val="00DE06B5"/>
    <w:rsid w:val="00DF0D55"/>
    <w:rsid w:val="00DF5F9F"/>
    <w:rsid w:val="00E13F45"/>
    <w:rsid w:val="00E306AC"/>
    <w:rsid w:val="00E44717"/>
    <w:rsid w:val="00E46C1C"/>
    <w:rsid w:val="00E63632"/>
    <w:rsid w:val="00E71536"/>
    <w:rsid w:val="00E72414"/>
    <w:rsid w:val="00EA2F93"/>
    <w:rsid w:val="00EC4AA5"/>
    <w:rsid w:val="00ED5C8B"/>
    <w:rsid w:val="00EE551E"/>
    <w:rsid w:val="00EF1280"/>
    <w:rsid w:val="00F330B0"/>
    <w:rsid w:val="00F36889"/>
    <w:rsid w:val="00F45506"/>
    <w:rsid w:val="00F51544"/>
    <w:rsid w:val="00F60B08"/>
    <w:rsid w:val="00F62896"/>
    <w:rsid w:val="00F71389"/>
    <w:rsid w:val="00F86494"/>
    <w:rsid w:val="00FB59FA"/>
    <w:rsid w:val="00FC7D03"/>
    <w:rsid w:val="00FE5782"/>
    <w:rsid w:val="0B150679"/>
    <w:rsid w:val="10AE740B"/>
    <w:rsid w:val="147E698A"/>
    <w:rsid w:val="190929F0"/>
    <w:rsid w:val="1CFA0A64"/>
    <w:rsid w:val="1F106CB2"/>
    <w:rsid w:val="230B219E"/>
    <w:rsid w:val="24FD2ECC"/>
    <w:rsid w:val="286E082C"/>
    <w:rsid w:val="29FF5613"/>
    <w:rsid w:val="2B9B6108"/>
    <w:rsid w:val="36BA63DD"/>
    <w:rsid w:val="36C66087"/>
    <w:rsid w:val="42DB7C90"/>
    <w:rsid w:val="44A65161"/>
    <w:rsid w:val="470923BB"/>
    <w:rsid w:val="49F71B94"/>
    <w:rsid w:val="4B0E0182"/>
    <w:rsid w:val="4D0E7126"/>
    <w:rsid w:val="57E7336B"/>
    <w:rsid w:val="59795C67"/>
    <w:rsid w:val="5B493610"/>
    <w:rsid w:val="62B85B89"/>
    <w:rsid w:val="66CA6537"/>
    <w:rsid w:val="71B4373A"/>
    <w:rsid w:val="724B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5">
    <w:name w:val="Body Text Indent"/>
    <w:basedOn w:val="1"/>
    <w:next w:val="6"/>
    <w:qFormat/>
    <w:uiPriority w:val="0"/>
    <w:pPr>
      <w:ind w:firstLine="546"/>
    </w:pPr>
  </w:style>
  <w:style w:type="paragraph" w:styleId="6">
    <w:name w:val="Plain Text"/>
    <w:basedOn w:val="1"/>
    <w:qFormat/>
    <w:uiPriority w:val="0"/>
    <w:rPr>
      <w:rFonts w:ascii="宋体" w:hAnsi="Courier New" w:cs="Courier New"/>
      <w:sz w:val="21"/>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Body Text First Indent 2"/>
    <w:basedOn w:val="5"/>
    <w:qFormat/>
    <w:uiPriority w:val="99"/>
    <w:pPr>
      <w:ind w:firstLine="420"/>
    </w:pPr>
  </w:style>
  <w:style w:type="paragraph" w:styleId="10">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11"/>
    <w:link w:val="10"/>
    <w:qFormat/>
    <w:uiPriority w:val="99"/>
    <w:rPr>
      <w:sz w:val="18"/>
      <w:szCs w:val="18"/>
    </w:rPr>
  </w:style>
  <w:style w:type="character" w:customStyle="1" w:styleId="14">
    <w:name w:val="页脚 Char"/>
    <w:basedOn w:val="11"/>
    <w:link w:val="8"/>
    <w:qFormat/>
    <w:uiPriority w:val="99"/>
    <w:rPr>
      <w:sz w:val="18"/>
      <w:szCs w:val="18"/>
    </w:rPr>
  </w:style>
  <w:style w:type="character" w:customStyle="1" w:styleId="15">
    <w:name w:val="标题 1 Char"/>
    <w:basedOn w:val="11"/>
    <w:link w:val="3"/>
    <w:qFormat/>
    <w:uiPriority w:val="9"/>
    <w:rPr>
      <w:b/>
      <w:bCs/>
      <w:kern w:val="44"/>
      <w:sz w:val="44"/>
      <w:szCs w:val="44"/>
    </w:rPr>
  </w:style>
  <w:style w:type="paragraph" w:styleId="16">
    <w:name w:val="List Paragraph"/>
    <w:basedOn w:val="1"/>
    <w:qFormat/>
    <w:uiPriority w:val="34"/>
    <w:pPr>
      <w:ind w:firstLine="420" w:firstLineChars="200"/>
    </w:pPr>
  </w:style>
  <w:style w:type="character" w:customStyle="1" w:styleId="17">
    <w:name w:val="标题 3 Char"/>
    <w:basedOn w:val="11"/>
    <w:link w:val="4"/>
    <w:qFormat/>
    <w:uiPriority w:val="9"/>
    <w:rPr>
      <w:b/>
      <w:bCs/>
      <w:sz w:val="32"/>
      <w:szCs w:val="32"/>
    </w:rPr>
  </w:style>
  <w:style w:type="character" w:customStyle="1" w:styleId="18">
    <w:name w:val="批注框文本 Char"/>
    <w:basedOn w:val="11"/>
    <w:link w:val="7"/>
    <w:semiHidden/>
    <w:qFormat/>
    <w:uiPriority w:val="99"/>
    <w:rPr>
      <w:sz w:val="18"/>
      <w:szCs w:val="18"/>
    </w:rPr>
  </w:style>
  <w:style w:type="character" w:customStyle="1" w:styleId="19">
    <w:name w:val="Body text|1_"/>
    <w:link w:val="20"/>
    <w:qFormat/>
    <w:uiPriority w:val="0"/>
    <w:rPr>
      <w:rFonts w:ascii="宋体" w:hAnsi="宋体" w:cs="宋体"/>
      <w:sz w:val="28"/>
      <w:szCs w:val="28"/>
      <w:lang w:val="zh-TW" w:eastAsia="zh-TW" w:bidi="zh-TW"/>
    </w:rPr>
  </w:style>
  <w:style w:type="paragraph" w:customStyle="1" w:styleId="20">
    <w:name w:val="Body text|1"/>
    <w:basedOn w:val="1"/>
    <w:link w:val="19"/>
    <w:qFormat/>
    <w:uiPriority w:val="0"/>
    <w:pPr>
      <w:spacing w:after="280"/>
      <w:jc w:val="left"/>
    </w:pPr>
    <w:rPr>
      <w:rFonts w:ascii="宋体" w:hAnsi="宋体" w:cs="宋体"/>
      <w:kern w:val="0"/>
      <w:sz w:val="28"/>
      <w:szCs w:val="28"/>
      <w:lang w:val="zh-TW" w:eastAsia="zh-TW" w:bidi="zh-TW"/>
    </w:rPr>
  </w:style>
  <w:style w:type="paragraph" w:customStyle="1" w:styleId="21">
    <w:name w:val="正文1"/>
    <w:basedOn w:val="1"/>
    <w:next w:val="22"/>
    <w:qFormat/>
    <w:uiPriority w:val="0"/>
    <w:pPr>
      <w:adjustRightInd w:val="0"/>
      <w:ind w:firstLine="482"/>
      <w:textAlignment w:val="baseline"/>
    </w:pPr>
    <w:rPr>
      <w:rFonts w:ascii="宋体" w:hAnsi="宋体"/>
      <w:color w:val="000000"/>
      <w:kern w:val="28"/>
      <w:sz w:val="24"/>
    </w:rPr>
  </w:style>
  <w:style w:type="paragraph" w:customStyle="1" w:styleId="22">
    <w:name w:val="正文首行缩进 21"/>
    <w:basedOn w:val="23"/>
    <w:qFormat/>
    <w:uiPriority w:val="0"/>
  </w:style>
  <w:style w:type="paragraph" w:customStyle="1" w:styleId="23">
    <w:name w:val="正文缩进1"/>
    <w:basedOn w:val="21"/>
    <w:qFormat/>
    <w:uiPriority w:val="0"/>
    <w:pPr>
      <w:spacing w:line="240" w:lineRule="auto"/>
    </w:pPr>
    <w:rPr>
      <w:rFonts w:eastAsia="宋体"/>
      <w:szCs w:val="24"/>
    </w:rPr>
  </w:style>
  <w:style w:type="paragraph" w:customStyle="1" w:styleId="24">
    <w:name w:val="标题 21"/>
    <w:basedOn w:val="21"/>
    <w:next w:val="21"/>
    <w:qFormat/>
    <w:uiPriority w:val="0"/>
    <w:pPr>
      <w:keepNext/>
      <w:keepLines/>
      <w:numPr>
        <w:ilvl w:val="1"/>
        <w:numId w:val="1"/>
      </w:numPr>
      <w:spacing w:line="416" w:lineRule="atLeast"/>
      <w:outlineLvl w:val="1"/>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2659</Words>
  <Characters>2760</Characters>
  <Lines>15</Lines>
  <Paragraphs>4</Paragraphs>
  <TotalTime>208</TotalTime>
  <ScaleCrop>false</ScaleCrop>
  <LinksUpToDate>false</LinksUpToDate>
  <CharactersWithSpaces>2776</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2021-03-24T10:43:00Z</dcterms:created>
  <dc:creator>微软用户</dc:creator>
  <cp:lastModifiedBy>林琳娟</cp:lastModifiedBy>
  <cp:lastPrinted>2023-08-22T09:03:00Z</cp:lastPrinted>
  <dcterms:modified xsi:type="dcterms:W3CDTF">2024-05-20T07:21:24Z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ICV">
    <vt:lpwstr>1B3963F8F4B04221A14CCB01380816B3</vt:lpwstr>
  </property>
</Properties>
</file>