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7FA3E">
      <w:pPr>
        <w:pStyle w:val="10"/>
        <w:spacing w:line="640" w:lineRule="exact"/>
        <w:ind w:left="0" w:leftChars="0" w:firstLine="0" w:firstLineChars="0"/>
        <w:jc w:val="left"/>
        <w:rPr>
          <w:rFonts w:hint="eastAsia" w:ascii="Times New Roman" w:hAnsi="Times New Roman" w:eastAsia="仿宋_GB2312" w:cs="仿宋_GB2312"/>
          <w:kern w:val="0"/>
          <w:sz w:val="32"/>
          <w:szCs w:val="32"/>
          <w:highlight w:val="none"/>
        </w:rPr>
        <w:sectPr>
          <w:pgSz w:w="16838" w:h="23811"/>
          <w:pgMar w:top="1701" w:right="1587" w:bottom="1417" w:left="1587" w:header="851" w:footer="992" w:gutter="0"/>
          <w:cols w:space="0" w:num="1"/>
          <w:docGrid w:type="lines" w:linePitch="312" w:charSpace="0"/>
        </w:sectPr>
      </w:pPr>
      <w:bookmarkStart w:id="24" w:name="_GoBack"/>
      <w:bookmarkEnd w:id="24"/>
    </w:p>
    <w:p w14:paraId="323AE21B">
      <w:pPr>
        <w:widowControl/>
        <w:spacing w:line="640" w:lineRule="exact"/>
        <w:jc w:val="left"/>
        <w:rPr>
          <w:rFonts w:hint="eastAsia" w:ascii="仿宋" w:hAnsi="仿宋" w:eastAsia="仿宋" w:cs="黑体"/>
          <w:sz w:val="36"/>
          <w:szCs w:val="36"/>
        </w:rPr>
      </w:pPr>
      <w:r>
        <w:rPr>
          <w:rFonts w:hint="eastAsia" w:ascii="仿宋" w:hAnsi="仿宋" w:eastAsia="仿宋" w:cs="黑体"/>
          <w:sz w:val="36"/>
          <w:szCs w:val="36"/>
        </w:rPr>
        <w:t>附件</w:t>
      </w:r>
    </w:p>
    <w:p w14:paraId="47B91FCD">
      <w:pPr>
        <w:jc w:val="center"/>
        <w:outlineLvl w:val="0"/>
        <w:rPr>
          <w:rFonts w:hint="eastAsia" w:ascii="Times New Roman" w:hAnsi="Times New Roman" w:eastAsia="黑体" w:cs="黑体"/>
          <w:kern w:val="0"/>
          <w:sz w:val="32"/>
          <w:szCs w:val="32"/>
        </w:rPr>
      </w:pPr>
      <w:r>
        <w:rPr>
          <w:rFonts w:hint="eastAsia" w:ascii="Times New Roman" w:hAnsi="Times New Roman" w:eastAsia="黑体" w:cs="黑体"/>
          <w:kern w:val="0"/>
          <w:sz w:val="32"/>
          <w:szCs w:val="32"/>
        </w:rPr>
        <w:t>仙游县鲤北孝慈岩西侧片区土地</w:t>
      </w:r>
    </w:p>
    <w:p w14:paraId="550A2DB0">
      <w:pPr>
        <w:jc w:val="center"/>
        <w:rPr>
          <w:rFonts w:hint="eastAsia" w:ascii="Times New Roman" w:hAnsi="Times New Roman" w:eastAsia="黑体" w:cs="黑体"/>
          <w:kern w:val="0"/>
          <w:sz w:val="32"/>
          <w:szCs w:val="32"/>
          <w:lang w:eastAsia="zh-CN"/>
        </w:rPr>
      </w:pPr>
      <w:r>
        <w:rPr>
          <w:rFonts w:hint="eastAsia" w:ascii="Times New Roman" w:hAnsi="Times New Roman" w:eastAsia="黑体" w:cs="黑体"/>
          <w:kern w:val="0"/>
          <w:sz w:val="32"/>
          <w:szCs w:val="32"/>
        </w:rPr>
        <w:t>征收成片开发方案</w:t>
      </w:r>
    </w:p>
    <w:p w14:paraId="31BF1EC7">
      <w:pPr>
        <w:numPr>
          <w:ilvl w:val="0"/>
          <w:numId w:val="1"/>
        </w:numPr>
        <w:outlineLvl w:val="0"/>
        <w:rPr>
          <w:rFonts w:ascii="Times New Roman" w:hAnsi="Times New Roman" w:eastAsia="黑体" w:cs="黑体"/>
          <w:kern w:val="0"/>
          <w:sz w:val="32"/>
          <w:szCs w:val="32"/>
        </w:rPr>
      </w:pPr>
      <w:r>
        <w:rPr>
          <w:rFonts w:hint="eastAsia" w:ascii="Times New Roman" w:hAnsi="Times New Roman" w:eastAsia="黑体" w:cs="黑体"/>
          <w:kern w:val="0"/>
          <w:sz w:val="32"/>
          <w:szCs w:val="32"/>
        </w:rPr>
        <w:t>概述</w:t>
      </w:r>
    </w:p>
    <w:p w14:paraId="5A6EE014">
      <w:pPr>
        <w:spacing w:line="600" w:lineRule="exact"/>
        <w:ind w:firstLine="640" w:firstLineChars="200"/>
        <w:jc w:val="both"/>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中华人民共和国土地管理法》（2019年修正）第四十五条规定，为了公共利益的需要，在土地利用总体规划确定的城镇建设用地范围内，经省级以上人民政府批准由县级以上地方人民政府组织实施的成片开发建设需要用地的，确需征收农民集体所有土地的，可以依法实施征收。为落实土地管理法中关于土地征收成片开发的规定，自然资源部于2023年10月31日印发了《土地征收成片开发标准》（自然资规〔2023〕7号），明确了土地征收成片开发的依据、原则和成片开发方案的内容、编制程序及不予批准成片开发方案的情形。</w:t>
      </w:r>
    </w:p>
    <w:p w14:paraId="3EA75222">
      <w:pPr>
        <w:spacing w:line="600" w:lineRule="exact"/>
        <w:ind w:firstLine="640" w:firstLineChars="200"/>
        <w:jc w:val="both"/>
        <w:rPr>
          <w:rFonts w:hint="eastAsia" w:ascii="Times New Roman" w:hAnsi="Times New Roman" w:eastAsia="仿宋_GB2312" w:cs="仿宋_GB2312"/>
          <w:bCs/>
          <w:color w:val="000000"/>
          <w:sz w:val="32"/>
          <w:szCs w:val="32"/>
        </w:rPr>
      </w:pPr>
      <w:r>
        <w:rPr>
          <w:rFonts w:hint="eastAsia" w:ascii="Times New Roman" w:hAnsi="Times New Roman" w:eastAsia="仿宋_GB2312" w:cs="仿宋_GB2312"/>
          <w:bCs/>
          <w:color w:val="000000"/>
          <w:sz w:val="32"/>
          <w:szCs w:val="32"/>
        </w:rPr>
        <w:t>仙游县“十四五”规划提出，“瞄准产业发展趋势及市场发展方向，积极布局关键战略材料、前沿新材料等产业，开发新材料、新工艺和新产品，建设国内一流的新型功能材料产业基地。”和“孵化培育创新型小微企业，营造大众创业、万众创新的社会氛围”。仙游县坚持将创新驱动发展摆在发展全局的核心位置，围绕产业链部署创新链、围绕创新链布局产业链，不断增强企业自主创新能力，增强仙游县主导产业的综合竞争能力，建设先进制造业强县。</w:t>
      </w:r>
    </w:p>
    <w:p w14:paraId="5E249C23">
      <w:pPr>
        <w:spacing w:line="600" w:lineRule="exact"/>
        <w:ind w:firstLine="640" w:firstLineChars="200"/>
        <w:jc w:val="both"/>
        <w:rPr>
          <w:rFonts w:ascii="Times New Roman" w:hAnsi="Times New Roman" w:eastAsia="仿宋_GB2312" w:cs="仿宋_GB2312"/>
          <w:bCs/>
          <w:color w:val="000000"/>
          <w:sz w:val="32"/>
          <w:szCs w:val="32"/>
        </w:rPr>
      </w:pPr>
      <w:r>
        <w:rPr>
          <w:rFonts w:hint="eastAsia" w:ascii="Times New Roman" w:hAnsi="Times New Roman" w:eastAsia="仿宋_GB2312" w:cs="仿宋_GB2312"/>
          <w:bCs/>
          <w:color w:val="000000"/>
          <w:sz w:val="32"/>
          <w:szCs w:val="32"/>
        </w:rPr>
        <w:t>在新一轮仙游县国土空间总体规划背景下，对本次成片开发区域空间布局提出新的发展思路，确定本片区功能定位为吸引年轻人、鼓励创业创新的青创园和以金属制品主导的一类工业用地。基于仙游县产业发展战略要求，为加快园区及其配套基础设施的建设，依据《福建省自然资源厅关于印发</w:t>
      </w:r>
      <w:r>
        <w:rPr>
          <w:rFonts w:hint="eastAsia" w:ascii="Times New Roman" w:hAnsi="Times New Roman" w:eastAsia="仿宋_GB2312" w:cs="仿宋_GB2312"/>
          <w:bCs/>
          <w:color w:val="000000"/>
          <w:sz w:val="32"/>
          <w:szCs w:val="32"/>
          <w:lang w:eastAsia="zh-CN"/>
        </w:rPr>
        <w:t>〈</w:t>
      </w:r>
      <w:r>
        <w:rPr>
          <w:rFonts w:hint="eastAsia" w:ascii="Times New Roman" w:hAnsi="Times New Roman" w:eastAsia="仿宋_GB2312" w:cs="仿宋_GB2312"/>
          <w:bCs/>
          <w:color w:val="000000"/>
          <w:sz w:val="32"/>
          <w:szCs w:val="32"/>
        </w:rPr>
        <w:t>福建省土地征收成片开发方案报批管理办法</w:t>
      </w:r>
      <w:r>
        <w:rPr>
          <w:rFonts w:hint="eastAsia" w:ascii="Times New Roman" w:hAnsi="Times New Roman" w:eastAsia="仿宋_GB2312" w:cs="仿宋_GB2312"/>
          <w:bCs/>
          <w:color w:val="000000"/>
          <w:sz w:val="32"/>
          <w:szCs w:val="32"/>
          <w:lang w:eastAsia="zh-CN"/>
        </w:rPr>
        <w:t>〉</w:t>
      </w:r>
      <w:r>
        <w:rPr>
          <w:rFonts w:hint="eastAsia" w:ascii="Times New Roman" w:hAnsi="Times New Roman" w:eastAsia="仿宋_GB2312" w:cs="仿宋_GB2312"/>
          <w:bCs/>
          <w:color w:val="000000"/>
          <w:sz w:val="32"/>
          <w:szCs w:val="32"/>
        </w:rPr>
        <w:t>的通知》（闽自然资发〔2024〕45号）、《福建省自然资源厅关于印发</w:t>
      </w:r>
      <w:r>
        <w:rPr>
          <w:rFonts w:hint="eastAsia" w:ascii="Times New Roman" w:hAnsi="Times New Roman" w:eastAsia="仿宋_GB2312" w:cs="仿宋_GB2312"/>
          <w:bCs/>
          <w:color w:val="000000"/>
          <w:sz w:val="32"/>
          <w:szCs w:val="32"/>
          <w:lang w:eastAsia="zh-CN"/>
        </w:rPr>
        <w:t>〈</w:t>
      </w:r>
      <w:r>
        <w:rPr>
          <w:rFonts w:hint="eastAsia" w:ascii="Times New Roman" w:hAnsi="Times New Roman" w:eastAsia="仿宋_GB2312" w:cs="仿宋_GB2312"/>
          <w:bCs/>
          <w:color w:val="000000"/>
          <w:sz w:val="32"/>
          <w:szCs w:val="32"/>
        </w:rPr>
        <w:t>福建省土地征收成片开发方案编制参考指南（试行）</w:t>
      </w:r>
      <w:r>
        <w:rPr>
          <w:rFonts w:hint="eastAsia" w:ascii="Times New Roman" w:hAnsi="Times New Roman" w:eastAsia="仿宋_GB2312" w:cs="仿宋_GB2312"/>
          <w:bCs/>
          <w:color w:val="000000"/>
          <w:sz w:val="32"/>
          <w:szCs w:val="32"/>
          <w:lang w:eastAsia="zh-CN"/>
        </w:rPr>
        <w:t>〉</w:t>
      </w:r>
      <w:r>
        <w:rPr>
          <w:rFonts w:hint="eastAsia" w:ascii="Times New Roman" w:hAnsi="Times New Roman" w:eastAsia="仿宋_GB2312" w:cs="仿宋_GB2312"/>
          <w:bCs/>
          <w:color w:val="000000"/>
          <w:sz w:val="32"/>
          <w:szCs w:val="32"/>
        </w:rPr>
        <w:t>的通知》（闽自然资发〔2021〕6号）等相关文件规定要求，对仙游县鲤北孝慈岩西侧</w:t>
      </w:r>
      <w:r>
        <w:rPr>
          <w:rFonts w:hint="eastAsia" w:ascii="Times New Roman" w:hAnsi="Times New Roman" w:eastAsia="仿宋_GB2312" w:cs="仿宋_GB2312"/>
          <w:bCs/>
          <w:color w:val="000000"/>
          <w:sz w:val="32"/>
          <w:szCs w:val="32"/>
          <w:lang w:eastAsia="zh-CN"/>
        </w:rPr>
        <w:t>片区</w:t>
      </w:r>
      <w:r>
        <w:rPr>
          <w:rFonts w:hint="eastAsia" w:ascii="Times New Roman" w:hAnsi="Times New Roman" w:eastAsia="仿宋_GB2312" w:cs="仿宋_GB2312"/>
          <w:bCs/>
          <w:color w:val="000000"/>
          <w:sz w:val="32"/>
          <w:szCs w:val="32"/>
        </w:rPr>
        <w:t>开展土地征收成片开发方案编制工作。</w:t>
      </w:r>
    </w:p>
    <w:p w14:paraId="10673600">
      <w:pPr>
        <w:numPr>
          <w:ilvl w:val="0"/>
          <w:numId w:val="1"/>
        </w:numPr>
        <w:outlineLvl w:val="0"/>
        <w:rPr>
          <w:rFonts w:ascii="Times New Roman" w:hAnsi="Times New Roman" w:eastAsia="黑体" w:cs="黑体"/>
          <w:kern w:val="0"/>
          <w:sz w:val="32"/>
          <w:szCs w:val="32"/>
        </w:rPr>
      </w:pPr>
      <w:r>
        <w:rPr>
          <w:rFonts w:hint="eastAsia" w:ascii="Times New Roman" w:hAnsi="Times New Roman" w:eastAsia="黑体" w:cs="黑体"/>
          <w:kern w:val="0"/>
          <w:sz w:val="32"/>
          <w:szCs w:val="32"/>
        </w:rPr>
        <w:t>基本情况</w:t>
      </w:r>
    </w:p>
    <w:p w14:paraId="525693FC">
      <w:pPr>
        <w:pStyle w:val="13"/>
        <w:spacing w:line="600" w:lineRule="exact"/>
        <w:rPr>
          <w:rFonts w:hint="default" w:ascii="Times New Roman" w:hAnsi="Times New Roman"/>
          <w:highlight w:val="none"/>
        </w:rPr>
      </w:pPr>
      <w:r>
        <w:rPr>
          <w:rFonts w:ascii="Times New Roman" w:hAnsi="Times New Roman"/>
        </w:rPr>
        <w:t>本方案涉及仙游县鲤城街道金井社区、白塔社区，共1个街道2个社区集体土地；未涉及国有单位，不涉及省级、国家级经济开发区。具</w:t>
      </w:r>
      <w:r>
        <w:rPr>
          <w:rFonts w:ascii="Times New Roman" w:hAnsi="Times New Roman"/>
          <w:highlight w:val="none"/>
        </w:rPr>
        <w:t>体见附图1。</w:t>
      </w:r>
    </w:p>
    <w:p w14:paraId="3CC8C888">
      <w:pPr>
        <w:pStyle w:val="13"/>
        <w:widowControl w:val="0"/>
        <w:spacing w:line="600" w:lineRule="exact"/>
        <w:rPr>
          <w:rFonts w:hint="default" w:ascii="Times New Roman" w:hAnsi="Times New Roman"/>
          <w:highlight w:val="none"/>
        </w:rPr>
      </w:pPr>
      <w:r>
        <w:rPr>
          <w:rFonts w:hint="eastAsia" w:ascii="Times New Roman" w:hAnsi="Times New Roman"/>
          <w:highlight w:val="none"/>
        </w:rPr>
        <w:t>根据实地勘测调查，本方案成片开发范围总面积23.0715公顷，拟用地类情况如下：其中农用地18.58</w:t>
      </w:r>
      <w:r>
        <w:rPr>
          <w:rFonts w:hint="eastAsia" w:ascii="Times New Roman" w:hAnsi="Times New Roman"/>
          <w:highlight w:val="none"/>
          <w:lang w:val="en-US" w:eastAsia="zh-CN"/>
        </w:rPr>
        <w:t>77</w:t>
      </w:r>
      <w:r>
        <w:rPr>
          <w:rFonts w:hint="eastAsia" w:ascii="Times New Roman" w:hAnsi="Times New Roman"/>
          <w:highlight w:val="none"/>
        </w:rPr>
        <w:t>公顷（其中：耕地4.</w:t>
      </w:r>
      <w:r>
        <w:rPr>
          <w:rFonts w:hint="eastAsia" w:ascii="Times New Roman" w:hAnsi="Times New Roman"/>
          <w:highlight w:val="none"/>
          <w:lang w:val="en-US" w:eastAsia="zh-CN"/>
        </w:rPr>
        <w:t>8568</w:t>
      </w:r>
      <w:r>
        <w:rPr>
          <w:rFonts w:hint="eastAsia" w:ascii="Times New Roman" w:hAnsi="Times New Roman"/>
          <w:highlight w:val="none"/>
        </w:rPr>
        <w:t>公顷），建设用地4.48</w:t>
      </w:r>
      <w:r>
        <w:rPr>
          <w:rFonts w:hint="eastAsia" w:ascii="Times New Roman" w:hAnsi="Times New Roman"/>
          <w:highlight w:val="none"/>
          <w:lang w:val="en-US" w:eastAsia="zh-CN"/>
        </w:rPr>
        <w:t>38</w:t>
      </w:r>
      <w:r>
        <w:rPr>
          <w:rFonts w:hint="eastAsia" w:ascii="Times New Roman" w:hAnsi="Times New Roman"/>
          <w:highlight w:val="none"/>
        </w:rPr>
        <w:t>公顷，</w:t>
      </w:r>
      <w:r>
        <w:rPr>
          <w:rFonts w:hint="eastAsia" w:ascii="Times New Roman" w:hAnsi="Times New Roman"/>
          <w:highlight w:val="none"/>
          <w:lang w:eastAsia="zh-CN"/>
        </w:rPr>
        <w:t>未涉及</w:t>
      </w:r>
      <w:r>
        <w:rPr>
          <w:rFonts w:hint="eastAsia" w:ascii="Times New Roman" w:hAnsi="Times New Roman"/>
          <w:highlight w:val="none"/>
        </w:rPr>
        <w:t>未利用地。</w:t>
      </w:r>
    </w:p>
    <w:p w14:paraId="17E1AB48">
      <w:pPr>
        <w:numPr>
          <w:ilvl w:val="0"/>
          <w:numId w:val="1"/>
        </w:numPr>
        <w:outlineLvl w:val="0"/>
        <w:rPr>
          <w:rFonts w:ascii="Times New Roman" w:hAnsi="Times New Roman" w:eastAsia="仿宋_GB2312" w:cs="Times New Roman"/>
          <w:bCs/>
          <w:color w:val="000000"/>
          <w:sz w:val="32"/>
          <w:szCs w:val="32"/>
        </w:rPr>
      </w:pPr>
      <w:r>
        <w:rPr>
          <w:rFonts w:hint="eastAsia" w:ascii="Times New Roman" w:hAnsi="Times New Roman" w:eastAsia="黑体" w:cs="黑体"/>
          <w:kern w:val="0"/>
          <w:sz w:val="32"/>
          <w:szCs w:val="32"/>
          <w:highlight w:val="none"/>
        </w:rPr>
        <w:t>必要性分析</w:t>
      </w:r>
      <w:bookmarkStart w:id="0" w:name="_Toc10533"/>
      <w:bookmarkStart w:id="1" w:name="_Toc15358"/>
      <w:bookmarkStart w:id="2" w:name="_Toc19287"/>
    </w:p>
    <w:p w14:paraId="365156AD">
      <w:pPr>
        <w:spacing w:line="600" w:lineRule="exact"/>
        <w:ind w:firstLine="643" w:firstLineChars="200"/>
        <w:outlineLvl w:val="1"/>
        <w:rPr>
          <w:rFonts w:ascii="Times New Roman" w:hAnsi="Times New Roman" w:eastAsia="仿宋_GB2312" w:cs="Times New Roman"/>
          <w:b/>
          <w:color w:val="000000"/>
          <w:sz w:val="32"/>
          <w:szCs w:val="32"/>
        </w:rPr>
      </w:pPr>
      <w:r>
        <w:rPr>
          <w:rFonts w:hint="eastAsia" w:ascii="Times New Roman" w:hAnsi="Times New Roman" w:eastAsia="仿宋_GB2312" w:cs="Times New Roman"/>
          <w:b/>
          <w:color w:val="000000"/>
          <w:sz w:val="32"/>
          <w:szCs w:val="32"/>
          <w:lang w:val="en-US" w:eastAsia="zh-CN"/>
        </w:rPr>
        <w:t>1</w:t>
      </w:r>
      <w:r>
        <w:rPr>
          <w:rFonts w:ascii="Times New Roman" w:hAnsi="Times New Roman" w:eastAsia="仿宋_GB2312" w:cs="Times New Roman"/>
          <w:b/>
          <w:color w:val="000000"/>
          <w:sz w:val="32"/>
          <w:szCs w:val="32"/>
        </w:rPr>
        <w:t>、</w:t>
      </w:r>
      <w:r>
        <w:rPr>
          <w:rFonts w:hint="eastAsia" w:ascii="Times New Roman" w:hAnsi="Times New Roman" w:eastAsia="仿宋_GB2312" w:cs="Times New Roman"/>
          <w:b/>
          <w:color w:val="000000"/>
          <w:sz w:val="32"/>
          <w:szCs w:val="32"/>
        </w:rPr>
        <w:t>是完善公共服务配套设施，提升公共服务水平的需要</w:t>
      </w:r>
    </w:p>
    <w:p w14:paraId="2B84022D">
      <w:pPr>
        <w:spacing w:line="600" w:lineRule="exact"/>
        <w:ind w:firstLine="640" w:firstLineChars="200"/>
        <w:rPr>
          <w:rFonts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rPr>
        <w:t>通过本次成片开发方案的实施，有利于对仙游县的公共基础设施和公用设施等进行合理的统筹与规划。以保障民生、改善民生为重点，推进道路、绿化等基础设施建设，有利于实现片区整体环境水平的新跨越，提高载体功能，为片区的开发建设和招商引资工作提供良好的创业发展环境，促进区域功能布局优化，设施配套均衡，形成功能完善的土地区块，以提升公共服务水平。</w:t>
      </w:r>
    </w:p>
    <w:p w14:paraId="7B249D4F">
      <w:pPr>
        <w:numPr>
          <w:ilvl w:val="0"/>
          <w:numId w:val="0"/>
        </w:numPr>
        <w:spacing w:line="600" w:lineRule="exact"/>
        <w:ind w:firstLine="643" w:firstLineChars="200"/>
        <w:outlineLvl w:val="1"/>
        <w:rPr>
          <w:rFonts w:ascii="Times New Roman" w:hAnsi="Times New Roman" w:eastAsia="仿宋_GB2312" w:cs="Times New Roman"/>
          <w:b/>
          <w:color w:val="000000"/>
          <w:sz w:val="32"/>
          <w:szCs w:val="32"/>
        </w:rPr>
      </w:pPr>
      <w:r>
        <w:rPr>
          <w:rFonts w:hint="eastAsia" w:ascii="Times New Roman" w:hAnsi="Times New Roman" w:eastAsia="仿宋_GB2312" w:cs="Times New Roman"/>
          <w:b/>
          <w:color w:val="000000"/>
          <w:sz w:val="32"/>
          <w:szCs w:val="32"/>
          <w:lang w:val="en-US" w:eastAsia="zh-CN"/>
        </w:rPr>
        <w:t>2、</w:t>
      </w:r>
      <w:r>
        <w:rPr>
          <w:rFonts w:hint="eastAsia" w:ascii="Times New Roman" w:hAnsi="Times New Roman" w:eastAsia="仿宋_GB2312" w:cs="Times New Roman"/>
          <w:b/>
          <w:color w:val="000000"/>
          <w:sz w:val="32"/>
          <w:szCs w:val="32"/>
        </w:rPr>
        <w:t>是优化产业空间布局的需要</w:t>
      </w:r>
    </w:p>
    <w:p w14:paraId="2C7354B6">
      <w:pPr>
        <w:spacing w:line="600" w:lineRule="exact"/>
        <w:ind w:firstLine="640" w:firstLineChars="200"/>
        <w:rPr>
          <w:rFonts w:hint="eastAsia"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rPr>
        <w:t>土地征收成片开发可以提升片区基础设施条件，完善生活服务配套，为当地产业发展提供良好的发展环境。仙游县积极构建“一心两翼八园”产业发展空间格局，盘活资源空间，提升承载能力，着力推进小微企业园建设，促进小微企业集聚发展。</w:t>
      </w:r>
    </w:p>
    <w:p w14:paraId="7D9834A1">
      <w:pPr>
        <w:pStyle w:val="10"/>
        <w:numPr>
          <w:ilvl w:val="0"/>
          <w:numId w:val="0"/>
        </w:numPr>
        <w:spacing w:line="600" w:lineRule="exact"/>
        <w:ind w:firstLine="643" w:firstLineChars="200"/>
        <w:outlineLvl w:val="1"/>
        <w:rPr>
          <w:rFonts w:ascii="Times New Roman" w:hAnsi="Times New Roman" w:eastAsia="仿宋_GB2312" w:cs="Times New Roman"/>
          <w:b/>
          <w:color w:val="000000"/>
          <w:sz w:val="32"/>
          <w:szCs w:val="32"/>
        </w:rPr>
      </w:pPr>
      <w:r>
        <w:rPr>
          <w:rFonts w:hint="eastAsia" w:ascii="Times New Roman" w:hAnsi="Times New Roman" w:eastAsia="仿宋_GB2312" w:cs="Times New Roman"/>
          <w:b/>
          <w:color w:val="000000"/>
          <w:sz w:val="32"/>
          <w:szCs w:val="32"/>
          <w:lang w:val="en-US" w:eastAsia="zh-CN"/>
        </w:rPr>
        <w:t>3、</w:t>
      </w:r>
      <w:r>
        <w:rPr>
          <w:rFonts w:hint="eastAsia" w:ascii="Times New Roman" w:hAnsi="Times New Roman" w:eastAsia="仿宋_GB2312" w:cs="Times New Roman"/>
          <w:b/>
          <w:color w:val="000000"/>
          <w:sz w:val="32"/>
          <w:szCs w:val="32"/>
        </w:rPr>
        <w:t>是促进土地资源高效利用的需要</w:t>
      </w:r>
    </w:p>
    <w:p w14:paraId="2A92A4D8">
      <w:pPr>
        <w:spacing w:line="600" w:lineRule="exact"/>
        <w:ind w:firstLine="640" w:firstLineChars="200"/>
        <w:rPr>
          <w:rFonts w:hint="eastAsia"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rPr>
        <w:t>本着“节约用地，集约发展”的原则对片区用地进行整合梳理，盘活资源空间、优化国土开发，推进全域基础设施一体化、产城发展集约化</w:t>
      </w:r>
      <w:r>
        <w:rPr>
          <w:rFonts w:hint="eastAsia" w:ascii="Times New Roman" w:hAnsi="Times New Roman" w:eastAsia="仿宋_GB2312" w:cs="Times New Roman"/>
          <w:bCs/>
          <w:color w:val="000000"/>
          <w:sz w:val="32"/>
          <w:szCs w:val="32"/>
          <w:lang w:eastAsia="zh-CN"/>
        </w:rPr>
        <w:t>，</w:t>
      </w:r>
      <w:r>
        <w:rPr>
          <w:rFonts w:hint="eastAsia" w:ascii="Times New Roman" w:hAnsi="Times New Roman" w:eastAsia="仿宋_GB2312" w:cs="Times New Roman"/>
          <w:bCs/>
          <w:color w:val="000000"/>
          <w:sz w:val="32"/>
          <w:szCs w:val="32"/>
        </w:rPr>
        <w:t>有利于政府统一组织实施基础设施建设，统一组织项目招商引资，加快推动区域的开发建设，实现土地资源的合理高效利用。</w:t>
      </w:r>
    </w:p>
    <w:p w14:paraId="04DD9F2E">
      <w:pPr>
        <w:pStyle w:val="10"/>
        <w:numPr>
          <w:ilvl w:val="0"/>
          <w:numId w:val="0"/>
        </w:numPr>
        <w:spacing w:line="600" w:lineRule="exact"/>
        <w:ind w:firstLine="643" w:firstLineChars="200"/>
        <w:outlineLvl w:val="1"/>
        <w:rPr>
          <w:rFonts w:ascii="Times New Roman" w:hAnsi="Times New Roman" w:eastAsia="仿宋_GB2312" w:cs="Times New Roman"/>
          <w:b/>
          <w:color w:val="000000"/>
          <w:sz w:val="32"/>
          <w:szCs w:val="32"/>
        </w:rPr>
      </w:pPr>
      <w:r>
        <w:rPr>
          <w:rFonts w:hint="eastAsia" w:ascii="Times New Roman" w:hAnsi="Times New Roman" w:eastAsia="仿宋_GB2312" w:cs="Times New Roman"/>
          <w:b/>
          <w:color w:val="000000"/>
          <w:sz w:val="32"/>
          <w:szCs w:val="32"/>
          <w:lang w:val="en-US" w:eastAsia="zh-CN"/>
        </w:rPr>
        <w:t>4、</w:t>
      </w:r>
      <w:r>
        <w:rPr>
          <w:rFonts w:hint="eastAsia" w:ascii="Times New Roman" w:hAnsi="Times New Roman" w:eastAsia="仿宋_GB2312" w:cs="Times New Roman"/>
          <w:b/>
          <w:color w:val="000000"/>
          <w:sz w:val="32"/>
          <w:szCs w:val="32"/>
        </w:rPr>
        <w:t>是带动高校大学生创业、增加当地就业的需要</w:t>
      </w:r>
    </w:p>
    <w:p w14:paraId="00332677">
      <w:pPr>
        <w:spacing w:line="600" w:lineRule="exact"/>
        <w:ind w:firstLine="640" w:firstLineChars="200"/>
        <w:rPr>
          <w:rFonts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rPr>
        <w:t>本项目建成后，将为当地新增大量就业机会，解决农村剩余劳动力就业问题，可促进项目当地经济和谐发展。此外，本片区的实施建设还能够极大地激发</w:t>
      </w:r>
      <w:r>
        <w:rPr>
          <w:rFonts w:hint="eastAsia" w:ascii="Times New Roman" w:hAnsi="Times New Roman" w:eastAsia="仿宋_GB2312" w:cs="Times New Roman"/>
          <w:bCs/>
          <w:color w:val="000000"/>
          <w:sz w:val="32"/>
          <w:szCs w:val="32"/>
          <w:lang w:eastAsia="zh-CN"/>
        </w:rPr>
        <w:t>高校</w:t>
      </w:r>
      <w:r>
        <w:rPr>
          <w:rFonts w:hint="eastAsia" w:ascii="Times New Roman" w:hAnsi="Times New Roman" w:eastAsia="仿宋_GB2312" w:cs="Times New Roman"/>
          <w:bCs/>
          <w:color w:val="000000"/>
          <w:sz w:val="32"/>
          <w:szCs w:val="32"/>
        </w:rPr>
        <w:t>大学生及当地青年的创新和创业热情，促进学院、学科、产业等资源的集成和共享，构建企业、高校、科研机构一体化，打造产学研基地，将创新的思想与意识切实地转化为行动和实业，从而实现创业带动就业目标的重要措施。</w:t>
      </w:r>
    </w:p>
    <w:bookmarkEnd w:id="0"/>
    <w:bookmarkEnd w:id="1"/>
    <w:bookmarkEnd w:id="2"/>
    <w:p w14:paraId="2312B8CA">
      <w:pPr>
        <w:numPr>
          <w:ilvl w:val="0"/>
          <w:numId w:val="1"/>
        </w:numPr>
        <w:outlineLvl w:val="0"/>
        <w:rPr>
          <w:rFonts w:ascii="Times New Roman" w:hAnsi="Times New Roman" w:eastAsia="黑体" w:cs="黑体"/>
          <w:kern w:val="0"/>
          <w:sz w:val="32"/>
          <w:szCs w:val="32"/>
        </w:rPr>
      </w:pPr>
      <w:r>
        <w:rPr>
          <w:rFonts w:hint="eastAsia" w:ascii="Times New Roman" w:hAnsi="Times New Roman" w:eastAsia="黑体" w:cs="黑体"/>
          <w:kern w:val="0"/>
          <w:sz w:val="32"/>
          <w:szCs w:val="32"/>
        </w:rPr>
        <w:t>主要用途、实现功能及公益性用地比例</w:t>
      </w:r>
    </w:p>
    <w:p w14:paraId="43ED492B">
      <w:pPr>
        <w:pStyle w:val="13"/>
        <w:widowControl w:val="0"/>
        <w:spacing w:line="600" w:lineRule="exact"/>
        <w:rPr>
          <w:rFonts w:hint="eastAsia" w:ascii="Times New Roman" w:hAnsi="Times New Roman"/>
        </w:rPr>
      </w:pPr>
      <w:r>
        <w:rPr>
          <w:rFonts w:hint="eastAsia" w:ascii="Times New Roman" w:hAnsi="Times New Roman"/>
        </w:rPr>
        <w:t>本片区用地总面积为23.0715公顷，主要用途为工业用地、商务金融用地。其中工业用地面积10.021</w:t>
      </w:r>
      <w:r>
        <w:rPr>
          <w:rFonts w:hint="eastAsia" w:ascii="Times New Roman" w:hAnsi="Times New Roman"/>
          <w:lang w:val="en-US" w:eastAsia="zh-CN"/>
        </w:rPr>
        <w:t>3</w:t>
      </w:r>
      <w:r>
        <w:rPr>
          <w:rFonts w:hint="eastAsia" w:ascii="Times New Roman" w:hAnsi="Times New Roman"/>
        </w:rPr>
        <w:t>公顷，实现金属制品加工功能；商务金融用地面积3.3012公顷，实现青年创业产业服务功能；城镇村道路用地面积3.3818公顷，实现园区对外交通互联功能；防护绿地用地面积3.199</w:t>
      </w:r>
      <w:r>
        <w:rPr>
          <w:rFonts w:hint="eastAsia" w:ascii="Times New Roman" w:hAnsi="Times New Roman"/>
          <w:lang w:val="en-US" w:eastAsia="zh-CN"/>
        </w:rPr>
        <w:t>4</w:t>
      </w:r>
      <w:r>
        <w:rPr>
          <w:rFonts w:hint="eastAsia" w:ascii="Times New Roman" w:hAnsi="Times New Roman"/>
        </w:rPr>
        <w:t>公顷，实现园区隔离防护带、生态防护等功能；其他交通设施用地面积3.1678公顷，实现车辆管理配套设施等功能。</w:t>
      </w:r>
    </w:p>
    <w:p w14:paraId="05F7FF7E">
      <w:pPr>
        <w:pStyle w:val="13"/>
        <w:widowControl w:val="0"/>
        <w:spacing w:line="600" w:lineRule="exact"/>
        <w:rPr>
          <w:rFonts w:hint="default" w:ascii="Times New Roman" w:hAnsi="Times New Roman"/>
        </w:rPr>
      </w:pPr>
      <w:r>
        <w:rPr>
          <w:rFonts w:hint="eastAsia" w:ascii="Times New Roman" w:hAnsi="Times New Roman"/>
        </w:rPr>
        <w:t>公益性用地包含城镇村道路用地、防护绿地、其他交通设施用地，合计9.749</w:t>
      </w:r>
      <w:r>
        <w:rPr>
          <w:rFonts w:hint="eastAsia" w:ascii="Times New Roman" w:hAnsi="Times New Roman"/>
          <w:lang w:val="en-US" w:eastAsia="zh-CN"/>
        </w:rPr>
        <w:t>0</w:t>
      </w:r>
      <w:r>
        <w:rPr>
          <w:rFonts w:hint="eastAsia" w:ascii="Times New Roman" w:hAnsi="Times New Roman"/>
        </w:rPr>
        <w:t>公顷，占总用地面积42.26%，符合《土地征收成片开发标准》（自然资规〔2023〕7号）公益性用地占比一般不低于40%的规定</w:t>
      </w:r>
      <w:r>
        <w:rPr>
          <w:rFonts w:ascii="Times New Roman" w:hAnsi="Times New Roman"/>
        </w:rPr>
        <w:t>。</w:t>
      </w:r>
    </w:p>
    <w:p w14:paraId="0BE75B45">
      <w:pPr>
        <w:numPr>
          <w:ilvl w:val="0"/>
          <w:numId w:val="1"/>
        </w:numPr>
        <w:outlineLvl w:val="0"/>
        <w:rPr>
          <w:rFonts w:ascii="Times New Roman" w:hAnsi="Times New Roman" w:eastAsia="黑体" w:cs="黑体"/>
          <w:kern w:val="0"/>
          <w:sz w:val="32"/>
          <w:szCs w:val="32"/>
        </w:rPr>
      </w:pPr>
      <w:r>
        <w:rPr>
          <w:rFonts w:hint="eastAsia" w:ascii="Times New Roman" w:hAnsi="Times New Roman" w:eastAsia="黑体" w:cs="黑体"/>
          <w:kern w:val="0"/>
          <w:sz w:val="32"/>
          <w:szCs w:val="32"/>
        </w:rPr>
        <w:t>效益评估</w:t>
      </w:r>
    </w:p>
    <w:p w14:paraId="3E8DCBB4">
      <w:pPr>
        <w:spacing w:line="600" w:lineRule="exact"/>
        <w:ind w:left="420" w:leftChars="200"/>
        <w:outlineLvl w:val="1"/>
        <w:rPr>
          <w:rFonts w:ascii="Times New Roman" w:hAnsi="Times New Roman" w:eastAsia="楷体" w:cs="Times New Roman"/>
          <w:b/>
          <w:bCs/>
          <w:sz w:val="32"/>
          <w:szCs w:val="32"/>
        </w:rPr>
      </w:pPr>
      <w:bookmarkStart w:id="3" w:name="_Toc20751"/>
      <w:bookmarkStart w:id="4" w:name="_Toc19705"/>
      <w:bookmarkStart w:id="5" w:name="_Toc12064"/>
      <w:bookmarkStart w:id="6" w:name="_Toc23052"/>
      <w:bookmarkStart w:id="7" w:name="_Toc13277"/>
      <w:bookmarkStart w:id="8" w:name="_Toc31552"/>
      <w:bookmarkStart w:id="9" w:name="_Toc24527"/>
      <w:r>
        <w:rPr>
          <w:rFonts w:ascii="Times New Roman" w:hAnsi="Times New Roman" w:eastAsia="楷体" w:cs="Times New Roman"/>
          <w:b/>
          <w:bCs/>
          <w:sz w:val="32"/>
          <w:szCs w:val="32"/>
        </w:rPr>
        <w:t>（一）土地利用效益</w:t>
      </w:r>
      <w:bookmarkEnd w:id="3"/>
      <w:bookmarkEnd w:id="4"/>
      <w:bookmarkEnd w:id="5"/>
      <w:bookmarkEnd w:id="6"/>
      <w:bookmarkEnd w:id="7"/>
      <w:bookmarkEnd w:id="8"/>
      <w:bookmarkEnd w:id="9"/>
    </w:p>
    <w:p w14:paraId="55B2395B">
      <w:pPr>
        <w:widowControl/>
        <w:spacing w:line="600" w:lineRule="exact"/>
        <w:ind w:firstLine="640" w:firstLineChars="200"/>
        <w:jc w:val="both"/>
        <w:rPr>
          <w:rFonts w:hint="eastAsia" w:ascii="Times New Roman" w:hAnsi="Times New Roman" w:eastAsia="仿宋_GB2312" w:cs="仿宋_GB2312"/>
          <w:bCs/>
          <w:sz w:val="32"/>
          <w:szCs w:val="32"/>
        </w:rPr>
      </w:pPr>
      <w:bookmarkStart w:id="10" w:name="_Toc13332"/>
      <w:bookmarkStart w:id="11" w:name="_Toc6155"/>
      <w:bookmarkStart w:id="12" w:name="_Toc18563"/>
      <w:bookmarkStart w:id="13" w:name="_Toc23567"/>
      <w:bookmarkStart w:id="14" w:name="_Toc28469"/>
      <w:bookmarkStart w:id="15" w:name="_Toc29652"/>
      <w:bookmarkStart w:id="16" w:name="_Toc9860"/>
      <w:r>
        <w:rPr>
          <w:rFonts w:hint="eastAsia" w:ascii="Times New Roman" w:hAnsi="Times New Roman" w:eastAsia="仿宋_GB2312" w:cs="仿宋_GB2312"/>
          <w:bCs/>
          <w:sz w:val="32"/>
          <w:szCs w:val="32"/>
        </w:rPr>
        <w:t>本方案用地总面积为23.0715公顷，合理规划工业用地、商务金融用地、防护绿地、城镇村道路用地等，主要用途为一类工业用地、商务金融用地。</w:t>
      </w:r>
    </w:p>
    <w:p w14:paraId="30AE45A8">
      <w:pPr>
        <w:widowControl/>
        <w:spacing w:line="600" w:lineRule="exact"/>
        <w:ind w:firstLine="640" w:firstLineChars="200"/>
        <w:jc w:val="both"/>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本片区工业用地面积为10.021</w:t>
      </w:r>
      <w:r>
        <w:rPr>
          <w:rFonts w:hint="eastAsia" w:ascii="Times New Roman" w:hAnsi="Times New Roman" w:eastAsia="仿宋_GB2312" w:cs="仿宋_GB2312"/>
          <w:bCs/>
          <w:sz w:val="32"/>
          <w:szCs w:val="32"/>
          <w:lang w:val="en-US" w:eastAsia="zh-CN"/>
        </w:rPr>
        <w:t>3</w:t>
      </w:r>
      <w:r>
        <w:rPr>
          <w:rFonts w:hint="eastAsia" w:ascii="Times New Roman" w:hAnsi="Times New Roman" w:eastAsia="仿宋_GB2312" w:cs="仿宋_GB2312"/>
          <w:bCs/>
          <w:sz w:val="32"/>
          <w:szCs w:val="32"/>
        </w:rPr>
        <w:t>公顷，按照《仙游县鲤北片区孝慈岩西侧地块控制性详细规划》的指标规定，结合用地现状条件，将容积率控制在0.8</w:t>
      </w:r>
      <w:r>
        <w:rPr>
          <w:rFonts w:hint="eastAsia" w:ascii="Times New Roman" w:hAnsi="Times New Roman" w:eastAsia="仿宋_GB2312" w:cs="仿宋_GB2312"/>
          <w:bCs/>
          <w:sz w:val="32"/>
          <w:szCs w:val="32"/>
          <w:lang w:eastAsia="zh-CN"/>
        </w:rPr>
        <w:t>—</w:t>
      </w:r>
      <w:r>
        <w:rPr>
          <w:rFonts w:hint="eastAsia" w:ascii="Times New Roman" w:hAnsi="Times New Roman" w:eastAsia="仿宋_GB2312" w:cs="仿宋_GB2312"/>
          <w:bCs/>
          <w:sz w:val="32"/>
          <w:szCs w:val="32"/>
        </w:rPr>
        <w:t>3.0之间，建筑系数不低于40%，绿地率</w:t>
      </w:r>
      <w:r>
        <w:rPr>
          <w:rFonts w:hint="eastAsia" w:ascii="Times New Roman" w:hAnsi="Times New Roman" w:eastAsia="仿宋_GB2312" w:cs="仿宋_GB2312"/>
          <w:bCs/>
          <w:sz w:val="32"/>
          <w:szCs w:val="32"/>
          <w:lang w:val="en-US" w:eastAsia="zh-CN"/>
        </w:rPr>
        <w:t>控制在</w:t>
      </w:r>
      <w:r>
        <w:rPr>
          <w:rFonts w:hint="eastAsia" w:ascii="Times New Roman" w:hAnsi="Times New Roman" w:eastAsia="仿宋_GB2312" w:cs="仿宋_GB2312"/>
          <w:bCs/>
          <w:sz w:val="32"/>
          <w:szCs w:val="32"/>
        </w:rPr>
        <w:t>10%</w:t>
      </w:r>
      <w:r>
        <w:rPr>
          <w:rFonts w:hint="eastAsia" w:ascii="Times New Roman" w:hAnsi="Times New Roman" w:eastAsia="仿宋_GB2312" w:cs="仿宋_GB2312"/>
          <w:bCs/>
          <w:sz w:val="32"/>
          <w:szCs w:val="32"/>
          <w:lang w:eastAsia="zh-CN"/>
        </w:rPr>
        <w:t>—</w:t>
      </w:r>
      <w:r>
        <w:rPr>
          <w:rFonts w:hint="eastAsia" w:ascii="Times New Roman" w:hAnsi="Times New Roman" w:eastAsia="仿宋_GB2312" w:cs="仿宋_GB2312"/>
          <w:bCs/>
          <w:sz w:val="32"/>
          <w:szCs w:val="32"/>
        </w:rPr>
        <w:t>20%，建筑高度不超过36米，符合《福建省城市规划管理技术规定》规范。</w:t>
      </w:r>
    </w:p>
    <w:p w14:paraId="0CE36404">
      <w:pPr>
        <w:widowControl/>
        <w:spacing w:line="600" w:lineRule="exact"/>
        <w:ind w:firstLine="640" w:firstLineChars="200"/>
        <w:jc w:val="both"/>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商务金融用地面积为3.3012公顷，按照《仙游县鲤北片区孝慈岩西侧地块控制性详细规划》的指标规定，将容积率控制在2.0以下，</w:t>
      </w:r>
      <w:r>
        <w:rPr>
          <w:rFonts w:hint="eastAsia" w:ascii="Times New Roman" w:hAnsi="Times New Roman" w:eastAsia="仿宋_GB2312" w:cs="仿宋_GB2312"/>
          <w:bCs/>
          <w:sz w:val="32"/>
          <w:szCs w:val="32"/>
          <w:highlight w:val="none"/>
        </w:rPr>
        <w:t>建筑密度不</w:t>
      </w:r>
      <w:r>
        <w:rPr>
          <w:rFonts w:hint="eastAsia" w:ascii="Times New Roman" w:hAnsi="Times New Roman" w:eastAsia="仿宋_GB2312" w:cs="仿宋_GB2312"/>
          <w:bCs/>
          <w:sz w:val="32"/>
          <w:szCs w:val="32"/>
          <w:highlight w:val="none"/>
          <w:lang w:eastAsia="zh-CN"/>
        </w:rPr>
        <w:t>高</w:t>
      </w:r>
      <w:r>
        <w:rPr>
          <w:rFonts w:hint="eastAsia" w:ascii="Times New Roman" w:hAnsi="Times New Roman" w:eastAsia="仿宋_GB2312" w:cs="仿宋_GB2312"/>
          <w:bCs/>
          <w:sz w:val="32"/>
          <w:szCs w:val="32"/>
          <w:highlight w:val="none"/>
        </w:rPr>
        <w:t>于35%</w:t>
      </w:r>
      <w:r>
        <w:rPr>
          <w:rFonts w:hint="eastAsia" w:ascii="Times New Roman" w:hAnsi="Times New Roman" w:eastAsia="仿宋_GB2312" w:cs="仿宋_GB2312"/>
          <w:bCs/>
          <w:sz w:val="32"/>
          <w:szCs w:val="32"/>
        </w:rPr>
        <w:t>，绿地率</w:t>
      </w:r>
      <w:r>
        <w:rPr>
          <w:rFonts w:hint="eastAsia" w:ascii="Times New Roman" w:hAnsi="Times New Roman" w:eastAsia="仿宋_GB2312" w:cs="仿宋_GB2312"/>
          <w:bCs/>
          <w:sz w:val="32"/>
          <w:szCs w:val="32"/>
          <w:lang w:val="en-US" w:eastAsia="zh-CN"/>
        </w:rPr>
        <w:t>控制在</w:t>
      </w:r>
      <w:r>
        <w:rPr>
          <w:rFonts w:hint="eastAsia" w:ascii="Times New Roman" w:hAnsi="Times New Roman" w:eastAsia="仿宋_GB2312" w:cs="仿宋_GB2312"/>
          <w:bCs/>
          <w:sz w:val="32"/>
          <w:szCs w:val="32"/>
        </w:rPr>
        <w:t>20%</w:t>
      </w:r>
      <w:r>
        <w:rPr>
          <w:rFonts w:hint="eastAsia" w:ascii="Times New Roman" w:hAnsi="Times New Roman" w:eastAsia="仿宋_GB2312" w:cs="仿宋_GB2312"/>
          <w:bCs/>
          <w:sz w:val="32"/>
          <w:szCs w:val="32"/>
          <w:lang w:eastAsia="zh-CN"/>
        </w:rPr>
        <w:t>—</w:t>
      </w:r>
      <w:r>
        <w:rPr>
          <w:rFonts w:hint="eastAsia" w:ascii="Times New Roman" w:hAnsi="Times New Roman" w:eastAsia="仿宋_GB2312" w:cs="仿宋_GB2312"/>
          <w:bCs/>
          <w:sz w:val="32"/>
          <w:szCs w:val="32"/>
        </w:rPr>
        <w:t>30%，建筑高度不超过36米，符合《福建省城市规划管理技术规定》规范。</w:t>
      </w:r>
    </w:p>
    <w:p w14:paraId="38C3CBBE">
      <w:pPr>
        <w:widowControl/>
        <w:spacing w:line="600" w:lineRule="exact"/>
        <w:ind w:firstLine="640" w:firstLineChars="200"/>
        <w:jc w:val="left"/>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本片区从长远、可持续的角度出发，充分尊重片区自然山水格局，本着“节约用地，集约发展”的原则对片区用地进行整合梳理，合理地规划园区的布局，最大限度地集约化利用有限的土地资源，盘活资源空间、优化国土开发，促进该片区的发展，充分发挥片区的集聚效益。</w:t>
      </w:r>
    </w:p>
    <w:p w14:paraId="5897CB88">
      <w:pPr>
        <w:spacing w:line="600" w:lineRule="exact"/>
        <w:ind w:left="420" w:leftChars="200"/>
        <w:outlineLvl w:val="1"/>
        <w:rPr>
          <w:rFonts w:ascii="Times New Roman" w:hAnsi="Times New Roman" w:eastAsia="楷体" w:cs="Times New Roman"/>
          <w:b/>
          <w:bCs/>
          <w:sz w:val="32"/>
          <w:szCs w:val="32"/>
        </w:rPr>
      </w:pPr>
      <w:r>
        <w:rPr>
          <w:rFonts w:ascii="Times New Roman" w:hAnsi="Times New Roman" w:eastAsia="楷体" w:cs="Times New Roman"/>
          <w:b/>
          <w:bCs/>
          <w:sz w:val="32"/>
          <w:szCs w:val="32"/>
        </w:rPr>
        <w:t>（二）经济效益</w:t>
      </w:r>
      <w:bookmarkEnd w:id="10"/>
      <w:bookmarkEnd w:id="11"/>
      <w:bookmarkEnd w:id="12"/>
      <w:bookmarkEnd w:id="13"/>
      <w:bookmarkEnd w:id="14"/>
      <w:bookmarkEnd w:id="15"/>
      <w:bookmarkEnd w:id="16"/>
    </w:p>
    <w:p w14:paraId="78A26F11">
      <w:pPr>
        <w:widowControl/>
        <w:spacing w:line="600" w:lineRule="exact"/>
        <w:ind w:firstLine="640" w:firstLineChars="200"/>
        <w:jc w:val="both"/>
        <w:rPr>
          <w:rFonts w:hint="eastAsia"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rPr>
        <w:t>本方案以工业用地、商务金融用地用途为主，方案的实施将带来</w:t>
      </w:r>
      <w:r>
        <w:rPr>
          <w:rFonts w:hint="eastAsia" w:ascii="Times New Roman" w:hAnsi="Times New Roman" w:eastAsia="仿宋_GB2312" w:cs="Times New Roman"/>
          <w:bCs/>
          <w:color w:val="000000"/>
          <w:sz w:val="32"/>
          <w:szCs w:val="32"/>
          <w:lang w:val="en-US" w:eastAsia="zh-CN"/>
        </w:rPr>
        <w:t>良好</w:t>
      </w:r>
      <w:r>
        <w:rPr>
          <w:rFonts w:hint="eastAsia" w:ascii="Times New Roman" w:hAnsi="Times New Roman" w:eastAsia="仿宋_GB2312" w:cs="Times New Roman"/>
          <w:bCs/>
          <w:color w:val="000000"/>
          <w:sz w:val="32"/>
          <w:szCs w:val="32"/>
        </w:rPr>
        <w:t>的经济效益。方案围绕仙游县产业发展方向，充分发挥片区紧邻仙游县城区的区位优势，以及未来规划的交通优势，有利于带动周边产业发展，促进产业转型升级；其次，引导企业集聚发展，可有效提高中小企业劳动生产率和企业竞争力。</w:t>
      </w:r>
      <w:r>
        <w:rPr>
          <w:rFonts w:hint="eastAsia" w:ascii="Times New Roman" w:hAnsi="Times New Roman" w:eastAsia="仿宋_GB2312" w:cs="Times New Roman"/>
          <w:bCs/>
          <w:color w:val="000000"/>
          <w:sz w:val="32"/>
          <w:szCs w:val="32"/>
          <w:lang w:eastAsia="zh-CN"/>
        </w:rPr>
        <w:t>因此，</w:t>
      </w:r>
      <w:r>
        <w:rPr>
          <w:rFonts w:hint="eastAsia" w:ascii="Times New Roman" w:hAnsi="Times New Roman" w:eastAsia="仿宋_GB2312" w:cs="Times New Roman"/>
          <w:bCs/>
          <w:color w:val="000000"/>
          <w:sz w:val="32"/>
          <w:szCs w:val="32"/>
        </w:rPr>
        <w:t>方案的实施对推动全县经济良性发展有积极作用</w:t>
      </w:r>
      <w:r>
        <w:rPr>
          <w:rFonts w:hint="eastAsia" w:ascii="Times New Roman" w:hAnsi="Times New Roman" w:eastAsia="仿宋_GB2312" w:cs="Times New Roman"/>
          <w:bCs/>
          <w:color w:val="000000"/>
          <w:sz w:val="32"/>
          <w:szCs w:val="32"/>
          <w:lang w:eastAsia="zh-CN"/>
        </w:rPr>
        <w:t>。</w:t>
      </w:r>
    </w:p>
    <w:p w14:paraId="4B8599BE">
      <w:pPr>
        <w:spacing w:line="600" w:lineRule="exact"/>
        <w:ind w:left="420" w:leftChars="200"/>
        <w:outlineLvl w:val="1"/>
        <w:rPr>
          <w:rFonts w:ascii="Times New Roman" w:hAnsi="Times New Roman" w:eastAsia="楷体" w:cs="Times New Roman"/>
          <w:b/>
          <w:bCs/>
          <w:sz w:val="32"/>
          <w:szCs w:val="32"/>
        </w:rPr>
      </w:pPr>
      <w:bookmarkStart w:id="17" w:name="_Toc15935"/>
      <w:bookmarkStart w:id="18" w:name="_Toc19912"/>
      <w:bookmarkStart w:id="19" w:name="_Toc12471"/>
      <w:bookmarkStart w:id="20" w:name="_Toc23088"/>
      <w:bookmarkStart w:id="21" w:name="_Toc23308"/>
      <w:bookmarkStart w:id="22" w:name="_Toc29190"/>
      <w:bookmarkStart w:id="23" w:name="_Toc18390"/>
      <w:r>
        <w:rPr>
          <w:rFonts w:ascii="Times New Roman" w:hAnsi="Times New Roman" w:eastAsia="楷体" w:cs="Times New Roman"/>
          <w:b/>
          <w:bCs/>
          <w:sz w:val="32"/>
          <w:szCs w:val="32"/>
        </w:rPr>
        <w:t>（三）社会效益</w:t>
      </w:r>
      <w:bookmarkEnd w:id="17"/>
      <w:bookmarkEnd w:id="18"/>
      <w:bookmarkEnd w:id="19"/>
      <w:bookmarkEnd w:id="20"/>
      <w:bookmarkEnd w:id="21"/>
      <w:bookmarkEnd w:id="22"/>
      <w:bookmarkEnd w:id="23"/>
    </w:p>
    <w:p w14:paraId="4294AA3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rPr>
        <w:t>本次成片开发将极大地推动当地城镇化建设，城乡发展更加融合，实现区域用地功能合理布局、配套设施完善、交通组织便捷，促进用地集约、集聚高效、有序地发展，形成产业集成发展，产业布局更加合理。成片开发的实施在促进产业发展的同时，也有利于吸收当地剩余劳动力，降低城市就业压力；有利于消除社会不稳定因素，对稳定政治、社会大局，加强社会管理等有着重要意义；本片区的实施完善了片区内部及周边的道路体系，有效提高整个区域道路网的通行能力</w:t>
      </w:r>
      <w:r>
        <w:rPr>
          <w:rFonts w:ascii="Times New Roman" w:hAnsi="Times New Roman" w:eastAsia="仿宋_GB2312" w:cs="Times New Roman"/>
          <w:bCs/>
          <w:color w:val="000000"/>
          <w:sz w:val="32"/>
          <w:szCs w:val="32"/>
        </w:rPr>
        <w:t>。</w:t>
      </w:r>
    </w:p>
    <w:p w14:paraId="223B8E38">
      <w:pPr>
        <w:spacing w:line="600" w:lineRule="exact"/>
        <w:ind w:left="420" w:leftChars="200"/>
        <w:outlineLvl w:val="1"/>
        <w:rPr>
          <w:rFonts w:ascii="Times New Roman" w:hAnsi="Times New Roman" w:eastAsia="楷体" w:cs="Times New Roman"/>
          <w:b/>
          <w:bCs/>
          <w:sz w:val="32"/>
          <w:szCs w:val="32"/>
        </w:rPr>
      </w:pPr>
      <w:r>
        <w:rPr>
          <w:rFonts w:ascii="Times New Roman" w:hAnsi="Times New Roman" w:eastAsia="楷体" w:cs="Times New Roman"/>
          <w:b/>
          <w:bCs/>
          <w:sz w:val="32"/>
          <w:szCs w:val="32"/>
        </w:rPr>
        <w:t>（</w:t>
      </w:r>
      <w:r>
        <w:rPr>
          <w:rFonts w:hint="eastAsia" w:ascii="Times New Roman" w:hAnsi="Times New Roman" w:eastAsia="楷体" w:cs="Times New Roman"/>
          <w:b/>
          <w:bCs/>
          <w:sz w:val="32"/>
          <w:szCs w:val="32"/>
        </w:rPr>
        <w:t>四</w:t>
      </w:r>
      <w:r>
        <w:rPr>
          <w:rFonts w:ascii="Times New Roman" w:hAnsi="Times New Roman" w:eastAsia="楷体" w:cs="Times New Roman"/>
          <w:b/>
          <w:bCs/>
          <w:sz w:val="32"/>
          <w:szCs w:val="32"/>
        </w:rPr>
        <w:t>）</w:t>
      </w:r>
      <w:r>
        <w:rPr>
          <w:rFonts w:hint="eastAsia" w:ascii="Times New Roman" w:hAnsi="Times New Roman" w:eastAsia="楷体" w:cs="Times New Roman"/>
          <w:b/>
          <w:bCs/>
          <w:sz w:val="32"/>
          <w:szCs w:val="32"/>
        </w:rPr>
        <w:t>生态</w:t>
      </w:r>
      <w:r>
        <w:rPr>
          <w:rFonts w:ascii="Times New Roman" w:hAnsi="Times New Roman" w:eastAsia="楷体" w:cs="Times New Roman"/>
          <w:b/>
          <w:bCs/>
          <w:sz w:val="32"/>
          <w:szCs w:val="32"/>
        </w:rPr>
        <w:t>效益</w:t>
      </w:r>
    </w:p>
    <w:p w14:paraId="5C60E96F">
      <w:pPr>
        <w:widowControl/>
        <w:spacing w:line="600" w:lineRule="exact"/>
        <w:ind w:firstLine="640" w:firstLineChars="200"/>
        <w:jc w:val="left"/>
        <w:rPr>
          <w:rFonts w:hint="eastAsia"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rPr>
        <w:t xml:space="preserve">本次成片开发方案从片区层面统筹考虑生态效益，区域绿化水平有所提升，合理布置防护绿地，将对改善片区内的生态景观起到积极作用。通过有序对土地进行成片综合开发，建设完善各类道路、市政给排水设施工程，配套建设必要绿化带，有效解决片区交通、给排水、污水处理问题，控制片区自然地表水土流失，提高片区抗自然灾害能力，美化片区生产生活环境，将营造片区更加适宜生产生活的美好生态环境，促进片区生态环境良性循环。同时，片区在开发建设全过程严格遵循各类环境保护要求，最大限度降低对周边居民生活的影响。 </w:t>
      </w:r>
    </w:p>
    <w:p w14:paraId="1C67AD85">
      <w:pPr>
        <w:numPr>
          <w:ilvl w:val="0"/>
          <w:numId w:val="1"/>
        </w:numPr>
        <w:outlineLvl w:val="0"/>
        <w:rPr>
          <w:rFonts w:ascii="Times New Roman" w:hAnsi="Times New Roman" w:eastAsia="黑体" w:cs="黑体"/>
          <w:kern w:val="0"/>
          <w:sz w:val="32"/>
          <w:szCs w:val="32"/>
        </w:rPr>
      </w:pPr>
      <w:r>
        <w:rPr>
          <w:rFonts w:hint="eastAsia" w:ascii="Times New Roman" w:hAnsi="Times New Roman" w:eastAsia="黑体" w:cs="黑体"/>
          <w:kern w:val="0"/>
          <w:sz w:val="32"/>
          <w:szCs w:val="32"/>
        </w:rPr>
        <w:t>结论</w:t>
      </w:r>
    </w:p>
    <w:p w14:paraId="307A517C">
      <w:pPr>
        <w:spacing w:line="60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本土地征收成片开发方案符合仙游县国民经济和社会发展规划、专项规划，方案位于城镇开发边界的集中建设区内，已纳入仙游县202</w:t>
      </w:r>
      <w:r>
        <w:rPr>
          <w:rFonts w:hint="eastAsia" w:ascii="Times New Roman" w:hAnsi="Times New Roman" w:eastAsia="仿宋_GB2312" w:cs="Times New Roman"/>
          <w:bCs/>
          <w:color w:val="000000"/>
          <w:sz w:val="32"/>
          <w:szCs w:val="32"/>
        </w:rPr>
        <w:t>4</w:t>
      </w:r>
      <w:r>
        <w:rPr>
          <w:rFonts w:ascii="Times New Roman" w:hAnsi="Times New Roman" w:eastAsia="仿宋_GB2312" w:cs="Times New Roman"/>
          <w:bCs/>
          <w:color w:val="000000"/>
          <w:sz w:val="32"/>
          <w:szCs w:val="32"/>
        </w:rPr>
        <w:t>年度国民经济和社会发展年度计划，符合自然资源部和福建省自然资源厅颁布的相关标准和规定，且做到了耕地保护、维护农民合法利益、节约集约用地、保护永久基本农田、保护环境，可促进经济社会可持续发展。</w:t>
      </w:r>
    </w:p>
    <w:p w14:paraId="262B313F">
      <w:pPr>
        <w:spacing w:line="600" w:lineRule="exact"/>
        <w:ind w:firstLine="640" w:firstLineChars="200"/>
        <w:rPr>
          <w:rFonts w:ascii="Times New Roman" w:hAnsi="Times New Roman" w:eastAsia="仿宋_GB2312" w:cs="Times New Roman"/>
          <w:bCs/>
          <w:color w:val="000000"/>
          <w:sz w:val="32"/>
          <w:szCs w:val="32"/>
        </w:rPr>
        <w:sectPr>
          <w:pgSz w:w="16838" w:h="23811"/>
          <w:pgMar w:top="1440" w:right="1800" w:bottom="1440" w:left="1800" w:header="851" w:footer="992" w:gutter="0"/>
          <w:cols w:space="425" w:num="1"/>
          <w:docGrid w:type="lines" w:linePitch="312" w:charSpace="0"/>
        </w:sectPr>
      </w:pPr>
    </w:p>
    <w:p w14:paraId="0BB04877">
      <w:pPr>
        <w:keepNext w:val="0"/>
        <w:keepLines w:val="0"/>
        <w:widowControl/>
        <w:suppressLineNumbers w:val="0"/>
        <w:jc w:val="left"/>
        <w:textAlignment w:val="center"/>
        <w:rPr>
          <w:rFonts w:hint="eastAsia" w:ascii="Times New Roman" w:hAnsi="Times New Roman" w:eastAsia="宋体" w:cs="宋体"/>
          <w:b/>
          <w:bCs/>
          <w:i w:val="0"/>
          <w:iCs w:val="0"/>
          <w:color w:val="000000"/>
          <w:kern w:val="0"/>
          <w:sz w:val="26"/>
          <w:szCs w:val="26"/>
          <w:u w:val="none"/>
          <w:lang w:val="en-US" w:eastAsia="zh-CN" w:bidi="ar"/>
        </w:rPr>
      </w:pPr>
      <w:r>
        <w:rPr>
          <w:rFonts w:hint="eastAsia" w:ascii="Times New Roman" w:hAnsi="Times New Roman" w:eastAsia="宋体" w:cs="宋体"/>
          <w:b/>
          <w:bCs/>
          <w:i w:val="0"/>
          <w:iCs w:val="0"/>
          <w:color w:val="000000"/>
          <w:kern w:val="0"/>
          <w:sz w:val="26"/>
          <w:szCs w:val="26"/>
          <w:u w:val="none"/>
          <w:lang w:val="en-US" w:eastAsia="zh-CN" w:bidi="ar"/>
        </w:rPr>
        <w:t>附图</w:t>
      </w:r>
    </w:p>
    <w:p w14:paraId="1BF4C530">
      <w:pPr>
        <w:keepNext w:val="0"/>
        <w:keepLines w:val="0"/>
        <w:widowControl/>
        <w:suppressLineNumbers w:val="0"/>
        <w:jc w:val="center"/>
        <w:textAlignment w:val="center"/>
        <w:rPr>
          <w:rFonts w:hint="default" w:ascii="Times New Roman" w:hAnsi="Times New Roman" w:eastAsia="宋体" w:cs="宋体"/>
          <w:b/>
          <w:bCs/>
          <w:i w:val="0"/>
          <w:iCs w:val="0"/>
          <w:color w:val="000000"/>
          <w:kern w:val="0"/>
          <w:sz w:val="26"/>
          <w:szCs w:val="26"/>
          <w:u w:val="none"/>
          <w:lang w:val="en-US" w:eastAsia="zh-CN" w:bidi="ar"/>
        </w:rPr>
      </w:pPr>
      <w:r>
        <w:rPr>
          <w:rFonts w:ascii="Times New Roman" w:hAnsi="Times New Roman"/>
        </w:rPr>
        <w:drawing>
          <wp:inline distT="0" distB="0" distL="114300" distR="114300">
            <wp:extent cx="11431270" cy="8081645"/>
            <wp:effectExtent l="0" t="0" r="17780" b="14605"/>
            <wp:docPr id="3" name="图片 3" descr="G:/002成片开发方案编制/01仙游县/02青创业园规划范围/微信图片_20241022095542.jpg微信图片_20241022095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G:/002成片开发方案编制/01仙游县/02青创业园规划范围/微信图片_20241022095542.jpg微信图片_20241022095542"/>
                    <pic:cNvPicPr>
                      <a:picLocks noChangeAspect="1"/>
                    </pic:cNvPicPr>
                  </pic:nvPicPr>
                  <pic:blipFill>
                    <a:blip r:embed="rId4"/>
                    <a:srcRect t="8" b="8"/>
                    <a:stretch>
                      <a:fillRect/>
                    </a:stretch>
                  </pic:blipFill>
                  <pic:spPr>
                    <a:xfrm>
                      <a:off x="0" y="0"/>
                      <a:ext cx="11431270" cy="8081645"/>
                    </a:xfrm>
                    <a:prstGeom prst="rect">
                      <a:avLst/>
                    </a:prstGeom>
                  </pic:spPr>
                </pic:pic>
              </a:graphicData>
            </a:graphic>
          </wp:inline>
        </w:drawing>
      </w:r>
    </w:p>
    <w:sectPr>
      <w:pgSz w:w="23811" w:h="16838" w:orient="landscape"/>
      <w:pgMar w:top="1587" w:right="1701" w:bottom="158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031B67"/>
    <w:multiLevelType w:val="singleLevel"/>
    <w:tmpl w:val="7F031B6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yNGI4NDZjZDEyOTc5OGQ2MjNjMmNiOTgzZmRiZDUifQ=="/>
  </w:docVars>
  <w:rsids>
    <w:rsidRoot w:val="0083659D"/>
    <w:rsid w:val="00011A91"/>
    <w:rsid w:val="00053304"/>
    <w:rsid w:val="000540DE"/>
    <w:rsid w:val="00081F99"/>
    <w:rsid w:val="000A26C2"/>
    <w:rsid w:val="000E752A"/>
    <w:rsid w:val="000F1D4A"/>
    <w:rsid w:val="000F465A"/>
    <w:rsid w:val="00116637"/>
    <w:rsid w:val="001168C9"/>
    <w:rsid w:val="001403C8"/>
    <w:rsid w:val="00173211"/>
    <w:rsid w:val="0018021B"/>
    <w:rsid w:val="00194400"/>
    <w:rsid w:val="001B0AEE"/>
    <w:rsid w:val="001D6D84"/>
    <w:rsid w:val="001D6DD5"/>
    <w:rsid w:val="001E7A69"/>
    <w:rsid w:val="001F4073"/>
    <w:rsid w:val="001F6DF8"/>
    <w:rsid w:val="00204E2F"/>
    <w:rsid w:val="00213CCD"/>
    <w:rsid w:val="0022460B"/>
    <w:rsid w:val="00224F34"/>
    <w:rsid w:val="00240A2C"/>
    <w:rsid w:val="00246871"/>
    <w:rsid w:val="0025374D"/>
    <w:rsid w:val="002555A4"/>
    <w:rsid w:val="00256400"/>
    <w:rsid w:val="002675FC"/>
    <w:rsid w:val="00281B9F"/>
    <w:rsid w:val="00297CA1"/>
    <w:rsid w:val="002B130D"/>
    <w:rsid w:val="002B45BB"/>
    <w:rsid w:val="002B4EA0"/>
    <w:rsid w:val="002B584F"/>
    <w:rsid w:val="002B63AB"/>
    <w:rsid w:val="002F5F23"/>
    <w:rsid w:val="00303C3A"/>
    <w:rsid w:val="00303F3B"/>
    <w:rsid w:val="00307CB5"/>
    <w:rsid w:val="0031444E"/>
    <w:rsid w:val="00320201"/>
    <w:rsid w:val="00327203"/>
    <w:rsid w:val="003336E7"/>
    <w:rsid w:val="00354CE6"/>
    <w:rsid w:val="003568D9"/>
    <w:rsid w:val="0036219E"/>
    <w:rsid w:val="0036405B"/>
    <w:rsid w:val="00371B94"/>
    <w:rsid w:val="0039293C"/>
    <w:rsid w:val="003A0815"/>
    <w:rsid w:val="003A1337"/>
    <w:rsid w:val="003A567B"/>
    <w:rsid w:val="003A6F08"/>
    <w:rsid w:val="003A7D20"/>
    <w:rsid w:val="003C4340"/>
    <w:rsid w:val="003D2A59"/>
    <w:rsid w:val="003F482D"/>
    <w:rsid w:val="00400144"/>
    <w:rsid w:val="00404062"/>
    <w:rsid w:val="00416F54"/>
    <w:rsid w:val="00431E47"/>
    <w:rsid w:val="00435D6F"/>
    <w:rsid w:val="00451114"/>
    <w:rsid w:val="004616B7"/>
    <w:rsid w:val="00472AEF"/>
    <w:rsid w:val="0048666E"/>
    <w:rsid w:val="0049070B"/>
    <w:rsid w:val="0049226F"/>
    <w:rsid w:val="004A027D"/>
    <w:rsid w:val="004A2A5A"/>
    <w:rsid w:val="004A4245"/>
    <w:rsid w:val="004D7AA6"/>
    <w:rsid w:val="004F34C6"/>
    <w:rsid w:val="0051412A"/>
    <w:rsid w:val="0052260E"/>
    <w:rsid w:val="00525407"/>
    <w:rsid w:val="005270BC"/>
    <w:rsid w:val="00564009"/>
    <w:rsid w:val="00574CF0"/>
    <w:rsid w:val="00575175"/>
    <w:rsid w:val="005A117D"/>
    <w:rsid w:val="005A5C0C"/>
    <w:rsid w:val="005C4B7B"/>
    <w:rsid w:val="005D2B70"/>
    <w:rsid w:val="005D3BEB"/>
    <w:rsid w:val="005D48A1"/>
    <w:rsid w:val="005E5F39"/>
    <w:rsid w:val="005E6647"/>
    <w:rsid w:val="005F2F90"/>
    <w:rsid w:val="0060250D"/>
    <w:rsid w:val="0061038D"/>
    <w:rsid w:val="00610B16"/>
    <w:rsid w:val="0063056D"/>
    <w:rsid w:val="00634AFB"/>
    <w:rsid w:val="00645A52"/>
    <w:rsid w:val="0065051E"/>
    <w:rsid w:val="006615F4"/>
    <w:rsid w:val="006867D4"/>
    <w:rsid w:val="006D19F5"/>
    <w:rsid w:val="006D3878"/>
    <w:rsid w:val="00720A40"/>
    <w:rsid w:val="00736930"/>
    <w:rsid w:val="0075489A"/>
    <w:rsid w:val="00755269"/>
    <w:rsid w:val="0078300E"/>
    <w:rsid w:val="00786BB5"/>
    <w:rsid w:val="00787ED7"/>
    <w:rsid w:val="00793456"/>
    <w:rsid w:val="007C218D"/>
    <w:rsid w:val="007E6C00"/>
    <w:rsid w:val="0081470B"/>
    <w:rsid w:val="0083659D"/>
    <w:rsid w:val="008436A5"/>
    <w:rsid w:val="00850D75"/>
    <w:rsid w:val="00855A8E"/>
    <w:rsid w:val="00857678"/>
    <w:rsid w:val="00861749"/>
    <w:rsid w:val="008646A9"/>
    <w:rsid w:val="00865FF0"/>
    <w:rsid w:val="00893C13"/>
    <w:rsid w:val="008E1468"/>
    <w:rsid w:val="008F0893"/>
    <w:rsid w:val="00907917"/>
    <w:rsid w:val="00917B3F"/>
    <w:rsid w:val="00926D38"/>
    <w:rsid w:val="00930AC3"/>
    <w:rsid w:val="009344A8"/>
    <w:rsid w:val="00943F02"/>
    <w:rsid w:val="009440F9"/>
    <w:rsid w:val="00950F57"/>
    <w:rsid w:val="00967BD3"/>
    <w:rsid w:val="00986CAC"/>
    <w:rsid w:val="00990065"/>
    <w:rsid w:val="009A099A"/>
    <w:rsid w:val="009F6461"/>
    <w:rsid w:val="00A01150"/>
    <w:rsid w:val="00A02172"/>
    <w:rsid w:val="00A30A2C"/>
    <w:rsid w:val="00A31438"/>
    <w:rsid w:val="00A51925"/>
    <w:rsid w:val="00A609ED"/>
    <w:rsid w:val="00A66621"/>
    <w:rsid w:val="00AB7C66"/>
    <w:rsid w:val="00AD3C65"/>
    <w:rsid w:val="00AD552D"/>
    <w:rsid w:val="00AE069D"/>
    <w:rsid w:val="00AE7E5C"/>
    <w:rsid w:val="00B06973"/>
    <w:rsid w:val="00B2071C"/>
    <w:rsid w:val="00B265C8"/>
    <w:rsid w:val="00B4156A"/>
    <w:rsid w:val="00B435D6"/>
    <w:rsid w:val="00B50643"/>
    <w:rsid w:val="00B5322C"/>
    <w:rsid w:val="00B625C0"/>
    <w:rsid w:val="00B62E68"/>
    <w:rsid w:val="00B72F28"/>
    <w:rsid w:val="00B7404A"/>
    <w:rsid w:val="00B815B7"/>
    <w:rsid w:val="00B904EE"/>
    <w:rsid w:val="00BA06F1"/>
    <w:rsid w:val="00BA6B62"/>
    <w:rsid w:val="00BF6BD3"/>
    <w:rsid w:val="00C0152C"/>
    <w:rsid w:val="00C036FB"/>
    <w:rsid w:val="00C05742"/>
    <w:rsid w:val="00C1133B"/>
    <w:rsid w:val="00C12682"/>
    <w:rsid w:val="00C13796"/>
    <w:rsid w:val="00C274A4"/>
    <w:rsid w:val="00C30BCB"/>
    <w:rsid w:val="00C559AF"/>
    <w:rsid w:val="00C70C72"/>
    <w:rsid w:val="00C93E3C"/>
    <w:rsid w:val="00CB2211"/>
    <w:rsid w:val="00CB3835"/>
    <w:rsid w:val="00CB5652"/>
    <w:rsid w:val="00CB7EC1"/>
    <w:rsid w:val="00CC121D"/>
    <w:rsid w:val="00CC4055"/>
    <w:rsid w:val="00D06D0F"/>
    <w:rsid w:val="00D24134"/>
    <w:rsid w:val="00D30BAE"/>
    <w:rsid w:val="00D311DB"/>
    <w:rsid w:val="00D46461"/>
    <w:rsid w:val="00D46719"/>
    <w:rsid w:val="00D4700D"/>
    <w:rsid w:val="00DB0241"/>
    <w:rsid w:val="00DB0F1B"/>
    <w:rsid w:val="00DB1A8C"/>
    <w:rsid w:val="00DB4785"/>
    <w:rsid w:val="00DC1B32"/>
    <w:rsid w:val="00DD25A2"/>
    <w:rsid w:val="00DF18DE"/>
    <w:rsid w:val="00DF2184"/>
    <w:rsid w:val="00E01D0F"/>
    <w:rsid w:val="00E04F88"/>
    <w:rsid w:val="00E27371"/>
    <w:rsid w:val="00E279FF"/>
    <w:rsid w:val="00E315B2"/>
    <w:rsid w:val="00E32A94"/>
    <w:rsid w:val="00E60C8B"/>
    <w:rsid w:val="00E70195"/>
    <w:rsid w:val="00E7045A"/>
    <w:rsid w:val="00E92B4A"/>
    <w:rsid w:val="00E94659"/>
    <w:rsid w:val="00EC3565"/>
    <w:rsid w:val="00EF26DB"/>
    <w:rsid w:val="00EF2A78"/>
    <w:rsid w:val="00EF2E62"/>
    <w:rsid w:val="00F024AD"/>
    <w:rsid w:val="00F0302C"/>
    <w:rsid w:val="00F0320A"/>
    <w:rsid w:val="00F03793"/>
    <w:rsid w:val="00F16295"/>
    <w:rsid w:val="00F267A9"/>
    <w:rsid w:val="00F302AF"/>
    <w:rsid w:val="00F44828"/>
    <w:rsid w:val="00F55AE8"/>
    <w:rsid w:val="00F6019C"/>
    <w:rsid w:val="00F637DD"/>
    <w:rsid w:val="00F75631"/>
    <w:rsid w:val="00F76964"/>
    <w:rsid w:val="00F778D1"/>
    <w:rsid w:val="00F97594"/>
    <w:rsid w:val="00FA0BC4"/>
    <w:rsid w:val="00FA0C23"/>
    <w:rsid w:val="00FC7B02"/>
    <w:rsid w:val="00FE3F44"/>
    <w:rsid w:val="01233A9E"/>
    <w:rsid w:val="018B3DA7"/>
    <w:rsid w:val="05687811"/>
    <w:rsid w:val="06F7755F"/>
    <w:rsid w:val="08F043A4"/>
    <w:rsid w:val="092C1016"/>
    <w:rsid w:val="09552FEF"/>
    <w:rsid w:val="09795C42"/>
    <w:rsid w:val="0A481E7F"/>
    <w:rsid w:val="0AC77248"/>
    <w:rsid w:val="0BBF6171"/>
    <w:rsid w:val="0C340EB7"/>
    <w:rsid w:val="0C7B02EA"/>
    <w:rsid w:val="0CE42333"/>
    <w:rsid w:val="0D703BC7"/>
    <w:rsid w:val="0ECF491D"/>
    <w:rsid w:val="12E9291C"/>
    <w:rsid w:val="12FA78CC"/>
    <w:rsid w:val="12FE1C75"/>
    <w:rsid w:val="14A10976"/>
    <w:rsid w:val="15712BD2"/>
    <w:rsid w:val="158C17BA"/>
    <w:rsid w:val="16161084"/>
    <w:rsid w:val="16227A29"/>
    <w:rsid w:val="18C64FE3"/>
    <w:rsid w:val="19A72FFB"/>
    <w:rsid w:val="19FB2A6A"/>
    <w:rsid w:val="1BFC2ACA"/>
    <w:rsid w:val="1C6963B1"/>
    <w:rsid w:val="1D8D4321"/>
    <w:rsid w:val="1E876FC3"/>
    <w:rsid w:val="1F705CA9"/>
    <w:rsid w:val="203B1E13"/>
    <w:rsid w:val="204C2272"/>
    <w:rsid w:val="212154AC"/>
    <w:rsid w:val="21A47E8B"/>
    <w:rsid w:val="221219BF"/>
    <w:rsid w:val="22411897"/>
    <w:rsid w:val="23887111"/>
    <w:rsid w:val="23B14C77"/>
    <w:rsid w:val="24D055DB"/>
    <w:rsid w:val="28396BD9"/>
    <w:rsid w:val="2ABF1892"/>
    <w:rsid w:val="2B942D1F"/>
    <w:rsid w:val="2BC46E64"/>
    <w:rsid w:val="2C3A1B18"/>
    <w:rsid w:val="2C9B7CA1"/>
    <w:rsid w:val="2CAB6572"/>
    <w:rsid w:val="2D08056C"/>
    <w:rsid w:val="307D6477"/>
    <w:rsid w:val="30F3375D"/>
    <w:rsid w:val="322A79B5"/>
    <w:rsid w:val="342033A2"/>
    <w:rsid w:val="34325EE1"/>
    <w:rsid w:val="343706EB"/>
    <w:rsid w:val="36755EC6"/>
    <w:rsid w:val="3716287B"/>
    <w:rsid w:val="37893954"/>
    <w:rsid w:val="38463EC9"/>
    <w:rsid w:val="38E251C0"/>
    <w:rsid w:val="392B4CC2"/>
    <w:rsid w:val="39547840"/>
    <w:rsid w:val="3B5129DA"/>
    <w:rsid w:val="3BCB453B"/>
    <w:rsid w:val="3EB23790"/>
    <w:rsid w:val="3FCB34E6"/>
    <w:rsid w:val="42B23D5F"/>
    <w:rsid w:val="43010842"/>
    <w:rsid w:val="43DD2D18"/>
    <w:rsid w:val="454113CA"/>
    <w:rsid w:val="48141018"/>
    <w:rsid w:val="48531B40"/>
    <w:rsid w:val="49746212"/>
    <w:rsid w:val="4DEF230B"/>
    <w:rsid w:val="4EFD45B3"/>
    <w:rsid w:val="4F247D92"/>
    <w:rsid w:val="521F2A93"/>
    <w:rsid w:val="52AA4A52"/>
    <w:rsid w:val="53400F13"/>
    <w:rsid w:val="54723AC7"/>
    <w:rsid w:val="555962BC"/>
    <w:rsid w:val="59A610B1"/>
    <w:rsid w:val="5A137C64"/>
    <w:rsid w:val="5A291D65"/>
    <w:rsid w:val="5AA4447D"/>
    <w:rsid w:val="5BAD4828"/>
    <w:rsid w:val="5BB406F0"/>
    <w:rsid w:val="5C321615"/>
    <w:rsid w:val="5CF82909"/>
    <w:rsid w:val="5F4F0E5B"/>
    <w:rsid w:val="5FB33712"/>
    <w:rsid w:val="60F66235"/>
    <w:rsid w:val="63D17EA6"/>
    <w:rsid w:val="644D16E1"/>
    <w:rsid w:val="64990483"/>
    <w:rsid w:val="65DD452F"/>
    <w:rsid w:val="65EF4B27"/>
    <w:rsid w:val="66F83B86"/>
    <w:rsid w:val="67BE6436"/>
    <w:rsid w:val="685A261F"/>
    <w:rsid w:val="68DE4FFE"/>
    <w:rsid w:val="6975655B"/>
    <w:rsid w:val="69AA3132"/>
    <w:rsid w:val="6AF1726A"/>
    <w:rsid w:val="6B362ECF"/>
    <w:rsid w:val="6B9F3626"/>
    <w:rsid w:val="6EA92A31"/>
    <w:rsid w:val="6EBC693B"/>
    <w:rsid w:val="6ECC3702"/>
    <w:rsid w:val="6F202DDD"/>
    <w:rsid w:val="6F2B261F"/>
    <w:rsid w:val="6F8267BB"/>
    <w:rsid w:val="6FA50623"/>
    <w:rsid w:val="71A36DE5"/>
    <w:rsid w:val="729329B5"/>
    <w:rsid w:val="73372F85"/>
    <w:rsid w:val="739E1612"/>
    <w:rsid w:val="73A7492B"/>
    <w:rsid w:val="748A5624"/>
    <w:rsid w:val="75A07AE2"/>
    <w:rsid w:val="75F145C2"/>
    <w:rsid w:val="76870A83"/>
    <w:rsid w:val="77496A59"/>
    <w:rsid w:val="774A385E"/>
    <w:rsid w:val="778B1B7B"/>
    <w:rsid w:val="77912DDA"/>
    <w:rsid w:val="78A7540C"/>
    <w:rsid w:val="79AB4A88"/>
    <w:rsid w:val="7BD227A0"/>
    <w:rsid w:val="7CB4634A"/>
    <w:rsid w:val="7E24305B"/>
    <w:rsid w:val="7E974034"/>
    <w:rsid w:val="7FC24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semiHidden/>
    <w:unhideWhenUsed/>
    <w:qFormat/>
    <w:uiPriority w:val="99"/>
    <w:pPr>
      <w:spacing w:after="120"/>
      <w:ind w:left="420" w:leftChars="200"/>
    </w:pPr>
  </w:style>
  <w:style w:type="paragraph" w:styleId="4">
    <w:name w:val="Balloon Text"/>
    <w:basedOn w:val="1"/>
    <w:link w:val="12"/>
    <w:semiHidden/>
    <w:unhideWhenUsed/>
    <w:qFormat/>
    <w:uiPriority w:val="99"/>
    <w:rPr>
      <w:sz w:val="18"/>
      <w:szCs w:val="18"/>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First Indent 2"/>
    <w:basedOn w:val="3"/>
    <w:next w:val="1"/>
    <w:semiHidden/>
    <w:unhideWhenUsed/>
    <w:qFormat/>
    <w:uiPriority w:val="99"/>
    <w:pPr>
      <w:ind w:firstLine="420" w:firstLineChars="200"/>
    </w:pPr>
  </w:style>
  <w:style w:type="paragraph" w:styleId="10">
    <w:name w:val="List Paragraph"/>
    <w:basedOn w:val="1"/>
    <w:qFormat/>
    <w:uiPriority w:val="34"/>
    <w:pPr>
      <w:ind w:firstLine="420" w:firstLineChars="200"/>
    </w:pPr>
  </w:style>
  <w:style w:type="character" w:customStyle="1" w:styleId="11">
    <w:name w:val="标题 1 Char"/>
    <w:basedOn w:val="9"/>
    <w:link w:val="2"/>
    <w:qFormat/>
    <w:uiPriority w:val="9"/>
    <w:rPr>
      <w:b/>
      <w:bCs/>
      <w:kern w:val="44"/>
      <w:sz w:val="44"/>
      <w:szCs w:val="44"/>
    </w:rPr>
  </w:style>
  <w:style w:type="character" w:customStyle="1" w:styleId="12">
    <w:name w:val="批注框文本 Char"/>
    <w:basedOn w:val="9"/>
    <w:link w:val="4"/>
    <w:semiHidden/>
    <w:qFormat/>
    <w:uiPriority w:val="99"/>
    <w:rPr>
      <w:kern w:val="2"/>
      <w:sz w:val="18"/>
      <w:szCs w:val="18"/>
    </w:rPr>
  </w:style>
  <w:style w:type="paragraph" w:customStyle="1" w:styleId="13">
    <w:name w:val="A成片正文"/>
    <w:basedOn w:val="1"/>
    <w:qFormat/>
    <w:uiPriority w:val="0"/>
    <w:pPr>
      <w:widowControl/>
      <w:spacing w:line="360" w:lineRule="auto"/>
      <w:ind w:firstLine="640" w:firstLineChars="200"/>
    </w:pPr>
    <w:rPr>
      <w:rFonts w:hint="eastAsia" w:ascii="仿宋_GB2312" w:hAnsi="仿宋_GB2312" w:eastAsia="仿宋_GB2312" w:cs="仿宋_GB2312"/>
      <w:bCs/>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FE268-24CA-4A6C-AD40-D7EF1009F5A9}">
  <ds:schemaRefs/>
</ds:datastoreItem>
</file>

<file path=docProps/app.xml><?xml version="1.0" encoding="utf-8"?>
<Properties xmlns="http://schemas.openxmlformats.org/officeDocument/2006/extended-properties" xmlns:vt="http://schemas.openxmlformats.org/officeDocument/2006/docPropsVTypes">
  <Template>Normal.dotm</Template>
  <Pages>5</Pages>
  <Words>3374</Words>
  <Characters>3535</Characters>
  <Lines>11</Lines>
  <Paragraphs>3</Paragraphs>
  <TotalTime>5</TotalTime>
  <ScaleCrop>false</ScaleCrop>
  <LinksUpToDate>false</LinksUpToDate>
  <CharactersWithSpaces>3617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2023-11-13T02:06:00Z</dcterms:created>
  <dc:creator>朱 义宁</dc:creator>
  <cp:lastModifiedBy>婉莹  买柚子找我</cp:lastModifiedBy>
  <cp:lastPrinted>2024-10-23T08:59:00Z</cp:lastPrinted>
  <dcterms:modified xsi:type="dcterms:W3CDTF">2024-11-06T07:35:05Z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DFE390E727CE4E7F8F70C78E805D1DCF_13</vt:lpwstr>
  </property>
</Properties>
</file>