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仙游县水政监察大队</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753850D2">
          <w:pPr>
            <w:pStyle w:val="18"/>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3"/>
              <w:rFonts w:ascii="仿宋" w:hAnsi="仿宋" w:eastAsia="仿宋" w:cs="仿宋"/>
            </w:rPr>
            <w:t>第一部分</w:t>
          </w:r>
          <w:r>
            <w:rPr>
              <w:rStyle w:val="23"/>
              <w:rFonts w:ascii="黑体" w:hAnsi="黑体" w:eastAsia="黑体" w:cs="黑体"/>
            </w:rPr>
            <w:t xml:space="preserve"> </w:t>
          </w:r>
          <w:r>
            <w:rPr>
              <w:rStyle w:val="23"/>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14:paraId="69A52EFE">
          <w:pPr>
            <w:pStyle w:val="11"/>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3"/>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14:paraId="0B68F6C8">
          <w:pPr>
            <w:pStyle w:val="11"/>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3"/>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14:paraId="1DD5839E">
          <w:pPr>
            <w:pStyle w:val="11"/>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3"/>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14:paraId="0DF89397">
          <w:pPr>
            <w:pStyle w:val="18"/>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3"/>
              <w:rFonts w:ascii="仿宋" w:hAnsi="仿宋" w:eastAsia="仿宋" w:cs="仿宋"/>
            </w:rPr>
            <w:t>第二部分</w:t>
          </w:r>
          <w:r>
            <w:rPr>
              <w:rStyle w:val="23"/>
              <w:rFonts w:ascii="黑体" w:hAnsi="黑体" w:eastAsia="黑体" w:cs="黑体"/>
            </w:rPr>
            <w:t xml:space="preserve"> </w:t>
          </w:r>
          <w:r>
            <w:rPr>
              <w:rStyle w:val="23"/>
              <w:rFonts w:ascii="仿宋" w:hAnsi="仿宋" w:eastAsia="仿宋" w:cs="仿宋"/>
            </w:rPr>
            <w:t>2024年度单位决算表</w:t>
          </w:r>
          <w:r>
            <w:tab/>
          </w:r>
          <w:r>
            <w:fldChar w:fldCharType="begin"/>
          </w:r>
          <w:r>
            <w:instrText xml:space="preserve"> PAGEREF _Toc256000129 \h </w:instrText>
          </w:r>
          <w:r>
            <w:fldChar w:fldCharType="separate"/>
          </w:r>
          <w:r>
            <w:t>3</w:t>
          </w:r>
          <w:r>
            <w:fldChar w:fldCharType="end"/>
          </w:r>
          <w:r>
            <w:fldChar w:fldCharType="end"/>
          </w:r>
        </w:p>
        <w:p w14:paraId="678D710F">
          <w:pPr>
            <w:pStyle w:val="11"/>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3"/>
              <w:rFonts w:ascii="仿宋" w:hAnsi="仿宋" w:eastAsia="仿宋" w:cs="仿宋"/>
            </w:rPr>
            <w:t>一、收入支出决算总表</w:t>
          </w:r>
          <w:r>
            <w:tab/>
          </w:r>
          <w:r>
            <w:fldChar w:fldCharType="begin"/>
          </w:r>
          <w:r>
            <w:instrText xml:space="preserve"> PAGEREF _Toc256000130 \h </w:instrText>
          </w:r>
          <w:r>
            <w:fldChar w:fldCharType="separate"/>
          </w:r>
          <w:r>
            <w:t>4</w:t>
          </w:r>
          <w:r>
            <w:fldChar w:fldCharType="end"/>
          </w:r>
          <w:r>
            <w:fldChar w:fldCharType="end"/>
          </w:r>
        </w:p>
        <w:p w14:paraId="1415709C">
          <w:pPr>
            <w:pStyle w:val="11"/>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3"/>
              <w:rFonts w:ascii="仿宋" w:hAnsi="仿宋" w:eastAsia="仿宋" w:cs="仿宋"/>
            </w:rPr>
            <w:t>二、收入决算表</w:t>
          </w:r>
          <w:r>
            <w:tab/>
          </w:r>
          <w:r>
            <w:fldChar w:fldCharType="begin"/>
          </w:r>
          <w:r>
            <w:instrText xml:space="preserve"> PAGEREF _Toc256000131 \h </w:instrText>
          </w:r>
          <w:r>
            <w:fldChar w:fldCharType="separate"/>
          </w:r>
          <w:r>
            <w:t>6</w:t>
          </w:r>
          <w:r>
            <w:fldChar w:fldCharType="end"/>
          </w:r>
          <w:r>
            <w:fldChar w:fldCharType="end"/>
          </w:r>
        </w:p>
        <w:p w14:paraId="7FF27038">
          <w:pPr>
            <w:pStyle w:val="11"/>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3"/>
              <w:rFonts w:ascii="仿宋" w:hAnsi="仿宋" w:eastAsia="仿宋" w:cs="仿宋"/>
            </w:rPr>
            <w:t>三、支出决算表</w:t>
          </w:r>
          <w:r>
            <w:tab/>
          </w:r>
          <w:r>
            <w:fldChar w:fldCharType="begin"/>
          </w:r>
          <w:r>
            <w:instrText xml:space="preserve"> PAGEREF _Toc256000132 \h </w:instrText>
          </w:r>
          <w:r>
            <w:fldChar w:fldCharType="separate"/>
          </w:r>
          <w:r>
            <w:t>8</w:t>
          </w:r>
          <w:r>
            <w:fldChar w:fldCharType="end"/>
          </w:r>
          <w:r>
            <w:fldChar w:fldCharType="end"/>
          </w:r>
        </w:p>
        <w:p w14:paraId="0B71D8AE">
          <w:pPr>
            <w:pStyle w:val="11"/>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3"/>
              <w:rFonts w:ascii="仿宋" w:hAnsi="仿宋" w:eastAsia="仿宋" w:cs="仿宋"/>
            </w:rPr>
            <w:t>四、财政拨款收入支出决算总表</w:t>
          </w:r>
          <w:r>
            <w:tab/>
          </w:r>
          <w:r>
            <w:fldChar w:fldCharType="begin"/>
          </w:r>
          <w:r>
            <w:instrText xml:space="preserve"> PAGEREF _Toc256000133 \h </w:instrText>
          </w:r>
          <w:r>
            <w:fldChar w:fldCharType="separate"/>
          </w:r>
          <w:r>
            <w:t>9</w:t>
          </w:r>
          <w:r>
            <w:fldChar w:fldCharType="end"/>
          </w:r>
          <w:r>
            <w:fldChar w:fldCharType="end"/>
          </w:r>
        </w:p>
        <w:p w14:paraId="74451A18">
          <w:pPr>
            <w:pStyle w:val="11"/>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3"/>
              <w:rFonts w:ascii="仿宋" w:hAnsi="仿宋" w:eastAsia="仿宋" w:cs="仿宋"/>
            </w:rPr>
            <w:t>五、一般公共预算财政拨款支出决算表</w:t>
          </w:r>
          <w:r>
            <w:tab/>
          </w:r>
          <w:r>
            <w:fldChar w:fldCharType="begin"/>
          </w:r>
          <w:r>
            <w:instrText xml:space="preserve"> PAGEREF _Toc256000134 \h </w:instrText>
          </w:r>
          <w:r>
            <w:fldChar w:fldCharType="separate"/>
          </w:r>
          <w:r>
            <w:t>12</w:t>
          </w:r>
          <w:r>
            <w:fldChar w:fldCharType="end"/>
          </w:r>
          <w:r>
            <w:fldChar w:fldCharType="end"/>
          </w:r>
        </w:p>
        <w:p w14:paraId="419699AE">
          <w:pPr>
            <w:pStyle w:val="11"/>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3"/>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13</w:t>
          </w:r>
          <w:r>
            <w:fldChar w:fldCharType="end"/>
          </w:r>
          <w:r>
            <w:fldChar w:fldCharType="end"/>
          </w:r>
        </w:p>
        <w:p w14:paraId="58BA9067">
          <w:pPr>
            <w:pStyle w:val="11"/>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3"/>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16</w:t>
          </w:r>
          <w:r>
            <w:fldChar w:fldCharType="end"/>
          </w:r>
          <w:r>
            <w:fldChar w:fldCharType="end"/>
          </w:r>
        </w:p>
        <w:p w14:paraId="29597BD2">
          <w:pPr>
            <w:pStyle w:val="11"/>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3"/>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17</w:t>
          </w:r>
          <w:r>
            <w:fldChar w:fldCharType="end"/>
          </w:r>
          <w:r>
            <w:fldChar w:fldCharType="end"/>
          </w:r>
        </w:p>
        <w:p w14:paraId="36661826">
          <w:pPr>
            <w:pStyle w:val="18"/>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3"/>
              <w:rFonts w:ascii="仿宋" w:hAnsi="仿宋" w:eastAsia="仿宋" w:cs="仿宋"/>
            </w:rPr>
            <w:t>第三部分</w:t>
          </w:r>
          <w:r>
            <w:rPr>
              <w:rStyle w:val="23"/>
              <w:rFonts w:ascii="黑体" w:hAnsi="黑体" w:eastAsia="黑体" w:cs="黑体"/>
            </w:rPr>
            <w:t xml:space="preserve"> </w:t>
          </w:r>
          <w:r>
            <w:rPr>
              <w:rStyle w:val="23"/>
              <w:rFonts w:ascii="仿宋" w:hAnsi="仿宋" w:eastAsia="仿宋" w:cs="仿宋"/>
            </w:rPr>
            <w:t>2024年度单位决算情况说明</w:t>
          </w:r>
          <w:r>
            <w:tab/>
          </w:r>
          <w:r>
            <w:fldChar w:fldCharType="begin"/>
          </w:r>
          <w:r>
            <w:instrText xml:space="preserve"> PAGEREF _Toc256000138 \h </w:instrText>
          </w:r>
          <w:r>
            <w:fldChar w:fldCharType="separate"/>
          </w:r>
          <w:r>
            <w:t>19</w:t>
          </w:r>
          <w:r>
            <w:fldChar w:fldCharType="end"/>
          </w:r>
          <w:r>
            <w:fldChar w:fldCharType="end"/>
          </w:r>
        </w:p>
        <w:p w14:paraId="7505966F">
          <w:pPr>
            <w:pStyle w:val="11"/>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3"/>
              <w:rFonts w:ascii="仿宋" w:hAnsi="仿宋" w:eastAsia="仿宋" w:cs="仿宋"/>
            </w:rPr>
            <w:t>一、收入支出决算总体情况说明</w:t>
          </w:r>
          <w:r>
            <w:tab/>
          </w:r>
          <w:r>
            <w:fldChar w:fldCharType="begin"/>
          </w:r>
          <w:r>
            <w:instrText xml:space="preserve"> PAGEREF _Toc256000139 \h </w:instrText>
          </w:r>
          <w:r>
            <w:fldChar w:fldCharType="separate"/>
          </w:r>
          <w:r>
            <w:t>20</w:t>
          </w:r>
          <w:r>
            <w:fldChar w:fldCharType="end"/>
          </w:r>
          <w:r>
            <w:fldChar w:fldCharType="end"/>
          </w:r>
        </w:p>
        <w:p w14:paraId="2105057C">
          <w:pPr>
            <w:pStyle w:val="11"/>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3"/>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21</w:t>
          </w:r>
          <w:r>
            <w:fldChar w:fldCharType="end"/>
          </w:r>
          <w:r>
            <w:fldChar w:fldCharType="end"/>
          </w:r>
        </w:p>
        <w:p w14:paraId="0EEC7035">
          <w:pPr>
            <w:pStyle w:val="11"/>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3"/>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21</w:t>
          </w:r>
          <w:r>
            <w:fldChar w:fldCharType="end"/>
          </w:r>
          <w:r>
            <w:fldChar w:fldCharType="end"/>
          </w:r>
        </w:p>
        <w:p w14:paraId="7F13EB11">
          <w:pPr>
            <w:pStyle w:val="11"/>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3"/>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21</w:t>
          </w:r>
          <w:r>
            <w:fldChar w:fldCharType="end"/>
          </w:r>
          <w:r>
            <w:fldChar w:fldCharType="end"/>
          </w:r>
        </w:p>
        <w:p w14:paraId="77E942E6">
          <w:pPr>
            <w:pStyle w:val="11"/>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3"/>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22</w:t>
          </w:r>
          <w:r>
            <w:fldChar w:fldCharType="end"/>
          </w:r>
          <w:r>
            <w:fldChar w:fldCharType="end"/>
          </w:r>
        </w:p>
        <w:p w14:paraId="55AA4DCC">
          <w:pPr>
            <w:pStyle w:val="11"/>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3"/>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22</w:t>
          </w:r>
          <w:r>
            <w:fldChar w:fldCharType="end"/>
          </w:r>
          <w:r>
            <w:fldChar w:fldCharType="end"/>
          </w:r>
        </w:p>
        <w:p w14:paraId="512570A1">
          <w:pPr>
            <w:pStyle w:val="11"/>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3"/>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23</w:t>
          </w:r>
          <w:r>
            <w:fldChar w:fldCharType="end"/>
          </w:r>
          <w:r>
            <w:fldChar w:fldCharType="end"/>
          </w:r>
        </w:p>
        <w:p w14:paraId="1912CF2E">
          <w:pPr>
            <w:pStyle w:val="11"/>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3"/>
              <w:rFonts w:ascii="仿宋" w:hAnsi="仿宋" w:eastAsia="仿宋" w:cs="仿宋"/>
            </w:rPr>
            <w:t>八、预算绩效情况说明</w:t>
          </w:r>
          <w:r>
            <w:tab/>
          </w:r>
          <w:r>
            <w:fldChar w:fldCharType="begin"/>
          </w:r>
          <w:r>
            <w:instrText xml:space="preserve"> PAGEREF _Toc256000146 \h </w:instrText>
          </w:r>
          <w:r>
            <w:fldChar w:fldCharType="separate"/>
          </w:r>
          <w:r>
            <w:t>23</w:t>
          </w:r>
          <w:r>
            <w:fldChar w:fldCharType="end"/>
          </w:r>
          <w:r>
            <w:fldChar w:fldCharType="end"/>
          </w:r>
        </w:p>
        <w:p w14:paraId="2B7C4AC4">
          <w:pPr>
            <w:pStyle w:val="11"/>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3"/>
              <w:rFonts w:ascii="仿宋" w:hAnsi="仿宋" w:eastAsia="仿宋" w:cs="仿宋"/>
            </w:rPr>
            <w:t>九、其他重要事项说明</w:t>
          </w:r>
          <w:r>
            <w:tab/>
          </w:r>
          <w:r>
            <w:fldChar w:fldCharType="begin"/>
          </w:r>
          <w:r>
            <w:instrText xml:space="preserve"> PAGEREF _Toc256000147 \h </w:instrText>
          </w:r>
          <w:r>
            <w:fldChar w:fldCharType="separate"/>
          </w:r>
          <w:r>
            <w:t>24</w:t>
          </w:r>
          <w:r>
            <w:fldChar w:fldCharType="end"/>
          </w:r>
          <w:r>
            <w:fldChar w:fldCharType="end"/>
          </w:r>
        </w:p>
        <w:p w14:paraId="3AB80C03">
          <w:pPr>
            <w:pStyle w:val="18"/>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3"/>
              <w:rFonts w:ascii="仿宋" w:hAnsi="仿宋" w:eastAsia="仿宋" w:cs="仿宋"/>
            </w:rPr>
            <w:t>第四部分</w:t>
          </w:r>
          <w:r>
            <w:rPr>
              <w:rStyle w:val="23"/>
              <w:rFonts w:ascii="黑体" w:hAnsi="黑体" w:eastAsia="黑体" w:cs="黑体"/>
            </w:rPr>
            <w:t xml:space="preserve"> </w:t>
          </w:r>
          <w:r>
            <w:rPr>
              <w:rStyle w:val="23"/>
              <w:rFonts w:ascii="仿宋" w:hAnsi="仿宋" w:eastAsia="仿宋" w:cs="仿宋"/>
            </w:rPr>
            <w:t>名词解释</w:t>
          </w:r>
          <w:r>
            <w:tab/>
          </w:r>
          <w:r>
            <w:fldChar w:fldCharType="begin"/>
          </w:r>
          <w:r>
            <w:instrText xml:space="preserve"> PAGEREF _Toc256000148 \h </w:instrText>
          </w:r>
          <w:r>
            <w:fldChar w:fldCharType="separate"/>
          </w:r>
          <w:r>
            <w:t>26</w:t>
          </w:r>
          <w:r>
            <w:fldChar w:fldCharType="end"/>
          </w:r>
          <w:r>
            <w:fldChar w:fldCharType="end"/>
          </w:r>
        </w:p>
        <w:p w14:paraId="1FCEFA16">
          <w:pPr>
            <w:pStyle w:val="18"/>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3"/>
              <w:rFonts w:ascii="仿宋" w:hAnsi="仿宋" w:eastAsia="仿宋" w:cs="仿宋"/>
            </w:rPr>
            <w:t>第五部分</w:t>
          </w:r>
          <w:r>
            <w:rPr>
              <w:rStyle w:val="23"/>
              <w:rFonts w:ascii="黑体" w:hAnsi="黑体" w:eastAsia="黑体" w:cs="黑体"/>
            </w:rPr>
            <w:t xml:space="preserve"> </w:t>
          </w:r>
          <w:r>
            <w:rPr>
              <w:rStyle w:val="23"/>
              <w:rFonts w:ascii="仿宋" w:hAnsi="仿宋" w:eastAsia="仿宋" w:cs="仿宋"/>
            </w:rPr>
            <w:t>附件</w:t>
          </w:r>
          <w:r>
            <w:tab/>
          </w:r>
          <w:r>
            <w:fldChar w:fldCharType="begin"/>
          </w:r>
          <w:r>
            <w:instrText xml:space="preserve"> PAGEREF _Toc256000149 \h </w:instrText>
          </w:r>
          <w:r>
            <w:fldChar w:fldCharType="separate"/>
          </w:r>
          <w:r>
            <w:t>29</w:t>
          </w:r>
          <w:r>
            <w:fldChar w:fldCharType="end"/>
          </w:r>
          <w:r>
            <w:fldChar w:fldCharType="end"/>
          </w:r>
        </w:p>
        <w:p w14:paraId="4149516D">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widowControl/>
        <w:spacing w:after="240"/>
        <w:jc w:val="left"/>
        <w:rPr>
          <w:rFonts w:ascii="Times New Roman" w:hAnsi="Times New Roman" w:eastAsia="Times New Roman" w:cs="Times New Roman"/>
          <w:kern w:val="0"/>
          <w:sz w:val="24"/>
        </w:rPr>
      </w:pPr>
      <w:bookmarkStart w:id="0" w:name="a000"/>
    </w:p>
    <w:p w14:paraId="250179AE">
      <w:pPr>
        <w:widowControl/>
        <w:spacing w:before="240" w:after="240"/>
        <w:jc w:val="left"/>
        <w:rPr>
          <w:rFonts w:ascii="Times New Roman" w:hAnsi="Times New Roman" w:eastAsia="Times New Roman" w:cs="Times New Roman"/>
          <w:kern w:val="0"/>
          <w:sz w:val="24"/>
        </w:rPr>
      </w:pPr>
    </w:p>
    <w:p w14:paraId="47730451">
      <w:pPr>
        <w:widowControl/>
        <w:spacing w:before="240" w:after="240"/>
        <w:jc w:val="left"/>
        <w:rPr>
          <w:rFonts w:ascii="Times New Roman" w:hAnsi="Times New Roman" w:eastAsia="Times New Roman" w:cs="Times New Roman"/>
          <w:kern w:val="0"/>
          <w:sz w:val="24"/>
        </w:rPr>
      </w:pPr>
    </w:p>
    <w:p w14:paraId="6A4B0DE4">
      <w:pPr>
        <w:widowControl/>
        <w:spacing w:before="240" w:after="240"/>
        <w:jc w:val="left"/>
        <w:rPr>
          <w:rFonts w:ascii="Times New Roman" w:hAnsi="Times New Roman" w:eastAsia="Times New Roman" w:cs="Times New Roman"/>
          <w:kern w:val="0"/>
          <w:sz w:val="24"/>
        </w:rPr>
      </w:pPr>
    </w:p>
    <w:p w14:paraId="1FFD9239">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25"/>
      <w:bookmarkStart w:id="2" w:name="_Toc256000000"/>
      <w:bookmarkStart w:id="3" w:name="_Toc256000125"/>
      <w:bookmarkStart w:id="4" w:name="_Toc256000050"/>
      <w:bookmarkStart w:id="5" w:name="_Toc256000100"/>
      <w:bookmarkStart w:id="6" w:name="_Toc256000075"/>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6BB3309A">
      <w:pPr>
        <w:sectPr>
          <w:footerReference r:id="rId5" w:type="default"/>
          <w:pgSz w:w="11906" w:h="16838"/>
          <w:pgMar w:top="1440" w:right="720" w:bottom="1440" w:left="720" w:header="720" w:footer="720" w:gutter="0"/>
          <w:pgNumType w:start="1"/>
          <w:cols w:space="720" w:num="1"/>
        </w:sectPr>
      </w:pPr>
    </w:p>
    <w:p w14:paraId="6247669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E16DE8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126"/>
      <w:bookmarkStart w:id="8" w:name="_Toc256000026"/>
      <w:bookmarkStart w:id="9" w:name="_Toc256000076"/>
      <w:bookmarkStart w:id="10" w:name="_Toc256000101"/>
      <w:bookmarkStart w:id="11" w:name="_Toc256000001"/>
      <w:bookmarkStart w:id="12" w:name="_Toc256000051"/>
      <w:r>
        <w:rPr>
          <w:rFonts w:ascii="黑体" w:hAnsi="黑体" w:eastAsia="黑体" w:cs="黑体"/>
          <w:b w:val="0"/>
          <w:bCs w:val="0"/>
          <w:spacing w:val="0"/>
        </w:rPr>
        <w:t>一、单位主要职责</w:t>
      </w:r>
      <w:bookmarkEnd w:id="7"/>
      <w:bookmarkEnd w:id="8"/>
      <w:bookmarkEnd w:id="9"/>
      <w:bookmarkEnd w:id="10"/>
      <w:bookmarkEnd w:id="11"/>
      <w:bookmarkEnd w:id="12"/>
    </w:p>
    <w:p w14:paraId="797ACE0B">
      <w:pPr>
        <w:pStyle w:val="9"/>
        <w:keepNext w:val="0"/>
        <w:keepLines w:val="0"/>
        <w:pageBreakBefore w:val="0"/>
        <w:widowControl w:val="0"/>
        <w:kinsoku/>
        <w:wordWrap/>
        <w:overflowPunct/>
        <w:topLinePunct w:val="0"/>
        <w:autoSpaceDE/>
        <w:autoSpaceDN/>
        <w:bidi w:val="0"/>
        <w:adjustRightInd/>
        <w:snapToGrid/>
        <w:spacing w:before="295" w:line="341" w:lineRule="auto"/>
        <w:ind w:left="17" w:firstLine="624"/>
        <w:textAlignment w:val="auto"/>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仙游县水政监察大队单位的主要职责是：做好相关水法律、法规 的宣传普及工作，做好水资源管理工作。</w:t>
      </w:r>
    </w:p>
    <w:p w14:paraId="46DC9E87">
      <w:pPr>
        <w:pStyle w:val="9"/>
        <w:keepNext w:val="0"/>
        <w:keepLines w:val="0"/>
        <w:pageBreakBefore w:val="0"/>
        <w:widowControl w:val="0"/>
        <w:kinsoku/>
        <w:wordWrap/>
        <w:overflowPunct/>
        <w:topLinePunct w:val="0"/>
        <w:autoSpaceDE/>
        <w:autoSpaceDN/>
        <w:bidi w:val="0"/>
        <w:adjustRightInd/>
        <w:snapToGrid/>
        <w:spacing w:before="295" w:line="341" w:lineRule="auto"/>
        <w:ind w:left="17" w:firstLine="624"/>
        <w:textAlignment w:val="auto"/>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（一）宣传贯彻水法律、法规，监督检查水法律、法规的实 施情况;</w:t>
      </w:r>
    </w:p>
    <w:p w14:paraId="2231E2C8">
      <w:pPr>
        <w:pStyle w:val="9"/>
        <w:keepNext w:val="0"/>
        <w:keepLines w:val="0"/>
        <w:pageBreakBefore w:val="0"/>
        <w:widowControl w:val="0"/>
        <w:kinsoku/>
        <w:wordWrap/>
        <w:overflowPunct/>
        <w:topLinePunct w:val="0"/>
        <w:autoSpaceDE/>
        <w:autoSpaceDN/>
        <w:bidi w:val="0"/>
        <w:adjustRightInd/>
        <w:snapToGrid/>
        <w:spacing w:before="295" w:line="341" w:lineRule="auto"/>
        <w:ind w:left="17" w:firstLine="624"/>
        <w:textAlignment w:val="auto"/>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（二）受理对水事违法行为的检举、控告，制止水事违法行 为，查处水事违法案件;</w:t>
      </w:r>
    </w:p>
    <w:p w14:paraId="5079C262">
      <w:pPr>
        <w:pStyle w:val="9"/>
        <w:keepNext w:val="0"/>
        <w:keepLines w:val="0"/>
        <w:pageBreakBefore w:val="0"/>
        <w:widowControl w:val="0"/>
        <w:kinsoku/>
        <w:wordWrap/>
        <w:overflowPunct/>
        <w:topLinePunct w:val="0"/>
        <w:autoSpaceDE/>
        <w:autoSpaceDN/>
        <w:bidi w:val="0"/>
        <w:adjustRightInd/>
        <w:snapToGrid/>
        <w:spacing w:before="295" w:line="341" w:lineRule="auto"/>
        <w:ind w:left="17" w:firstLine="624"/>
        <w:textAlignment w:val="auto"/>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（三）配合公安机关查处水事治安案件;</w:t>
      </w:r>
    </w:p>
    <w:p w14:paraId="49612830">
      <w:pPr>
        <w:pStyle w:val="9"/>
        <w:keepNext w:val="0"/>
        <w:keepLines w:val="0"/>
        <w:pageBreakBefore w:val="0"/>
        <w:widowControl w:val="0"/>
        <w:kinsoku/>
        <w:wordWrap/>
        <w:overflowPunct/>
        <w:topLinePunct w:val="0"/>
        <w:autoSpaceDE/>
        <w:autoSpaceDN/>
        <w:bidi w:val="0"/>
        <w:adjustRightInd/>
        <w:snapToGrid/>
        <w:spacing w:before="295" w:line="341" w:lineRule="auto"/>
        <w:ind w:left="17" w:firstLine="624"/>
        <w:textAlignment w:val="auto"/>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 四）保护水资源、水域、水工程、水土保持生态环境，调 解水事纠纷，维护正常的水事秩序;</w:t>
      </w:r>
    </w:p>
    <w:p w14:paraId="7B06780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（五）履行有关法律、法规规定的其他水政监察职责。</w:t>
      </w:r>
    </w:p>
    <w:p w14:paraId="5B605B1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27"/>
      <w:bookmarkStart w:id="14" w:name="_Toc256000052"/>
      <w:bookmarkStart w:id="15" w:name="_Toc256000127"/>
      <w:bookmarkStart w:id="16" w:name="_Toc256000102"/>
      <w:bookmarkStart w:id="17" w:name="_Toc256000002"/>
      <w:bookmarkStart w:id="18" w:name="_Toc256000077"/>
      <w:r>
        <w:rPr>
          <w:rFonts w:ascii="黑体" w:hAnsi="黑体" w:eastAsia="黑体" w:cs="黑体"/>
          <w:b w:val="0"/>
          <w:bCs w:val="0"/>
          <w:spacing w:val="0"/>
        </w:rPr>
        <w:t>二、单位基本情况</w:t>
      </w:r>
      <w:bookmarkEnd w:id="13"/>
      <w:bookmarkEnd w:id="14"/>
      <w:bookmarkEnd w:id="15"/>
      <w:bookmarkEnd w:id="16"/>
      <w:bookmarkEnd w:id="17"/>
      <w:bookmarkEnd w:id="18"/>
    </w:p>
    <w:p w14:paraId="1FC1022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从决算单位构成看，本单位包括个内设机构，其中：列入2024年决算编制范围的单位详细情况见下表:</w:t>
      </w:r>
    </w:p>
    <w:tbl>
      <w:tblPr>
        <w:tblStyle w:val="20"/>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6F674E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792170D8">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87FC769">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3BFCAAD9">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52D276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26B56091">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仙游县水政监察大队</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3105FED8">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公益二类事业单位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23E929A2">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26</w:t>
            </w:r>
          </w:p>
        </w:tc>
      </w:tr>
    </w:tbl>
    <w:p w14:paraId="4ECE08A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03"/>
      <w:bookmarkStart w:id="20" w:name="_Toc256000028"/>
      <w:bookmarkStart w:id="21" w:name="_Toc256000103"/>
      <w:bookmarkStart w:id="22" w:name="_Toc256000128"/>
      <w:bookmarkStart w:id="23" w:name="_Toc256000053"/>
      <w:bookmarkStart w:id="24" w:name="_Toc256000078"/>
      <w:r>
        <w:rPr>
          <w:rFonts w:ascii="黑体" w:hAnsi="黑体" w:eastAsia="黑体" w:cs="黑体"/>
          <w:b w:val="0"/>
          <w:bCs w:val="0"/>
          <w:spacing w:val="0"/>
        </w:rPr>
        <w:t>三、单位主要工作总结</w:t>
      </w:r>
      <w:bookmarkEnd w:id="19"/>
      <w:bookmarkEnd w:id="20"/>
      <w:bookmarkEnd w:id="21"/>
      <w:bookmarkEnd w:id="22"/>
      <w:bookmarkEnd w:id="23"/>
      <w:bookmarkEnd w:id="24"/>
    </w:p>
    <w:p w14:paraId="484DC287">
      <w:pPr>
        <w:pStyle w:val="9"/>
        <w:spacing w:before="193" w:line="357" w:lineRule="auto"/>
        <w:ind w:left="13" w:firstLine="632"/>
        <w:jc w:val="both"/>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2024年，仙游县水政监察大队单位主要任务是：我们要坚持稳中求进，将工作重心转到“水利工程补短板、水利行业强监管 ”这一改革发展总基调上来，以新时代治水方针和习近平 总书记治理木兰溪重要理念为根本遵循，稳步推进水利工程项目，加快推进水生态文明建设，统筹推进防灾减灾各项工作，强化水利行业监管，在去年工作的基础上再上一个台阶。围绕上述任务，重点</w:t>
      </w:r>
      <w:r>
        <w:rPr>
          <w:rFonts w:hint="eastAsia" w:ascii="仿宋_GB2312" w:hAnsi="仿宋_GB2312" w:eastAsia="仿宋_GB2312" w:cs="仿宋_GB2312"/>
          <w:spacing w:val="0"/>
          <w:kern w:val="0"/>
          <w:sz w:val="32"/>
          <w:szCs w:val="32"/>
          <w:lang w:val="en-US" w:eastAsia="zh-CN"/>
        </w:rPr>
        <w:t>抓好</w:t>
      </w:r>
      <w:r>
        <w:rPr>
          <w:rFonts w:ascii="仿宋_GB2312" w:hAnsi="仿宋_GB2312" w:eastAsia="仿宋_GB2312" w:cs="仿宋_GB2312"/>
          <w:spacing w:val="0"/>
          <w:kern w:val="0"/>
          <w:sz w:val="32"/>
          <w:szCs w:val="32"/>
        </w:rPr>
        <w:t>了以下工作：</w:t>
      </w:r>
    </w:p>
    <w:p w14:paraId="6680062E">
      <w:pPr>
        <w:pStyle w:val="9"/>
        <w:spacing w:before="193" w:line="357" w:lineRule="auto"/>
        <w:ind w:left="13" w:firstLine="632"/>
        <w:jc w:val="both"/>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（一）完善“三纵三横 ”供水体系。</w:t>
      </w:r>
    </w:p>
    <w:p w14:paraId="7DF15B6B">
      <w:pPr>
        <w:pStyle w:val="9"/>
        <w:spacing w:before="193" w:line="357" w:lineRule="auto"/>
        <w:ind w:left="13" w:firstLine="632"/>
        <w:jc w:val="both"/>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（二）擦亮“木兰溪理念 ”名片。</w:t>
      </w:r>
    </w:p>
    <w:p w14:paraId="4E93185C">
      <w:pPr>
        <w:pStyle w:val="9"/>
        <w:spacing w:before="193" w:line="357" w:lineRule="auto"/>
        <w:ind w:left="13" w:firstLine="632"/>
        <w:jc w:val="both"/>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（三）打造“ 幸福河 ”样本。织牢“安全水网 ”。</w:t>
      </w:r>
    </w:p>
    <w:p w14:paraId="61205089">
      <w:pPr>
        <w:pStyle w:val="9"/>
        <w:spacing w:before="193" w:line="357" w:lineRule="auto"/>
        <w:ind w:left="13" w:firstLine="632"/>
        <w:jc w:val="both"/>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 四）具体工作举措保障。一是强化党建引领。二是强化规 划引领。三是强化项目督导。 四、筑牢安全底线。</w:t>
      </w:r>
    </w:p>
    <w:p w14:paraId="1C690377">
      <w:pPr>
        <w:pStyle w:val="9"/>
        <w:spacing w:before="193" w:line="357" w:lineRule="auto"/>
        <w:ind w:left="13" w:firstLine="632"/>
        <w:jc w:val="both"/>
        <w:rPr>
          <w:rFonts w:ascii="仿宋_GB2312" w:hAnsi="仿宋_GB2312" w:eastAsia="仿宋_GB2312" w:cs="仿宋_GB2312"/>
          <w:spacing w:val="0"/>
          <w:kern w:val="0"/>
          <w:sz w:val="32"/>
          <w:szCs w:val="32"/>
        </w:rPr>
      </w:pPr>
    </w:p>
    <w:p w14:paraId="3276F351">
      <w:pPr>
        <w:sectPr>
          <w:footerReference r:id="rId6" w:type="default"/>
          <w:pgSz w:w="11906" w:h="16838"/>
          <w:pgMar w:top="1440" w:right="720" w:bottom="1440" w:left="720" w:header="720" w:footer="720" w:gutter="0"/>
          <w:cols w:space="720" w:num="1"/>
        </w:sectPr>
      </w:pPr>
    </w:p>
    <w:p w14:paraId="1D5F7DE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3776543">
      <w:pPr>
        <w:pStyle w:val="29"/>
        <w:widowControl/>
        <w:spacing w:before="100" w:after="100"/>
        <w:ind w:left="100" w:right="100" w:firstLine="640"/>
        <w:jc w:val="left"/>
        <w:rPr>
          <w:rFonts w:ascii="Times New Roman" w:hAnsi="Times New Roman" w:eastAsia="Times New Roman" w:cs="Times New Roman"/>
          <w:kern w:val="0"/>
          <w:sz w:val="24"/>
        </w:rPr>
      </w:pPr>
    </w:p>
    <w:p w14:paraId="4EE53528">
      <w:pPr>
        <w:pStyle w:val="29"/>
        <w:widowControl/>
        <w:spacing w:before="100" w:after="100"/>
        <w:ind w:left="100" w:right="100" w:firstLine="640"/>
        <w:jc w:val="left"/>
        <w:rPr>
          <w:rFonts w:ascii="Times New Roman" w:hAnsi="Times New Roman" w:eastAsia="Times New Roman" w:cs="Times New Roman"/>
          <w:kern w:val="0"/>
          <w:sz w:val="24"/>
        </w:rPr>
      </w:pPr>
    </w:p>
    <w:p w14:paraId="749E4183">
      <w:pPr>
        <w:pStyle w:val="29"/>
        <w:widowControl/>
        <w:spacing w:before="100" w:after="100"/>
        <w:ind w:left="100" w:right="100" w:firstLine="640"/>
        <w:jc w:val="left"/>
        <w:rPr>
          <w:rFonts w:ascii="Times New Roman" w:hAnsi="Times New Roman" w:eastAsia="Times New Roman" w:cs="Times New Roman"/>
          <w:kern w:val="0"/>
          <w:sz w:val="24"/>
        </w:rPr>
      </w:pPr>
    </w:p>
    <w:p w14:paraId="636F9724">
      <w:pPr>
        <w:pStyle w:val="29"/>
        <w:widowControl/>
        <w:spacing w:before="100" w:after="100"/>
        <w:ind w:left="100" w:right="100" w:firstLine="640"/>
        <w:jc w:val="left"/>
        <w:rPr>
          <w:rFonts w:ascii="Times New Roman" w:hAnsi="Times New Roman" w:eastAsia="Times New Roman" w:cs="Times New Roman"/>
          <w:kern w:val="0"/>
          <w:sz w:val="24"/>
        </w:rPr>
      </w:pPr>
    </w:p>
    <w:p w14:paraId="17F90EB0">
      <w:pPr>
        <w:pStyle w:val="29"/>
        <w:widowControl/>
        <w:spacing w:before="100" w:after="100"/>
        <w:ind w:left="100" w:right="100" w:firstLine="640"/>
        <w:jc w:val="left"/>
        <w:rPr>
          <w:rFonts w:ascii="Times New Roman" w:hAnsi="Times New Roman" w:eastAsia="Times New Roman" w:cs="Times New Roman"/>
          <w:kern w:val="0"/>
          <w:sz w:val="24"/>
        </w:rPr>
      </w:pPr>
    </w:p>
    <w:p w14:paraId="33B1F55A">
      <w:pPr>
        <w:pStyle w:val="29"/>
        <w:widowControl/>
        <w:spacing w:before="100" w:after="100"/>
        <w:ind w:left="100" w:right="100" w:firstLine="640"/>
        <w:jc w:val="left"/>
        <w:rPr>
          <w:rFonts w:ascii="Times New Roman" w:hAnsi="Times New Roman" w:eastAsia="Times New Roman" w:cs="Times New Roman"/>
          <w:kern w:val="0"/>
          <w:sz w:val="24"/>
        </w:rPr>
      </w:pPr>
    </w:p>
    <w:p w14:paraId="28C9FCE3">
      <w:pPr>
        <w:pStyle w:val="29"/>
        <w:widowControl/>
        <w:spacing w:before="100" w:after="100"/>
        <w:ind w:left="100" w:right="100" w:firstLine="640"/>
        <w:jc w:val="left"/>
        <w:rPr>
          <w:rFonts w:ascii="Times New Roman" w:hAnsi="Times New Roman" w:eastAsia="Times New Roman" w:cs="Times New Roman"/>
          <w:kern w:val="0"/>
          <w:sz w:val="24"/>
        </w:rPr>
      </w:pPr>
    </w:p>
    <w:p w14:paraId="46C76276">
      <w:pPr>
        <w:pStyle w:val="29"/>
        <w:widowControl/>
        <w:spacing w:before="100" w:after="100"/>
        <w:ind w:left="100" w:right="100" w:firstLine="640"/>
        <w:jc w:val="left"/>
        <w:rPr>
          <w:rFonts w:ascii="Times New Roman" w:hAnsi="Times New Roman" w:eastAsia="Times New Roman" w:cs="Times New Roman"/>
          <w:kern w:val="0"/>
          <w:sz w:val="24"/>
        </w:rPr>
      </w:pPr>
    </w:p>
    <w:p w14:paraId="5961ACED">
      <w:pPr>
        <w:pStyle w:val="29"/>
        <w:widowControl/>
        <w:spacing w:before="100" w:after="100"/>
        <w:ind w:left="100" w:right="100" w:firstLine="640"/>
        <w:jc w:val="left"/>
        <w:rPr>
          <w:rFonts w:ascii="Times New Roman" w:hAnsi="Times New Roman" w:eastAsia="Times New Roman" w:cs="Times New Roman"/>
          <w:kern w:val="0"/>
          <w:sz w:val="24"/>
        </w:rPr>
      </w:pPr>
    </w:p>
    <w:p w14:paraId="044A6F82">
      <w:pPr>
        <w:pStyle w:val="29"/>
        <w:widowControl/>
        <w:spacing w:before="100" w:after="100"/>
        <w:ind w:left="100" w:right="100" w:firstLine="640"/>
        <w:jc w:val="left"/>
        <w:rPr>
          <w:rFonts w:ascii="Times New Roman" w:hAnsi="Times New Roman" w:eastAsia="Times New Roman" w:cs="Times New Roman"/>
          <w:kern w:val="0"/>
          <w:sz w:val="24"/>
        </w:rPr>
      </w:pPr>
    </w:p>
    <w:p w14:paraId="6581D3F5">
      <w:pPr>
        <w:pStyle w:val="29"/>
        <w:widowControl/>
        <w:spacing w:before="100" w:after="100"/>
        <w:ind w:left="100" w:right="100" w:firstLine="640"/>
        <w:jc w:val="left"/>
        <w:rPr>
          <w:rFonts w:ascii="Times New Roman" w:hAnsi="Times New Roman" w:eastAsia="Times New Roman" w:cs="Times New Roman"/>
          <w:kern w:val="0"/>
          <w:sz w:val="24"/>
        </w:rPr>
      </w:pPr>
    </w:p>
    <w:p w14:paraId="336AFBD8">
      <w:pPr>
        <w:pStyle w:val="29"/>
        <w:widowControl/>
        <w:spacing w:before="100" w:after="100"/>
        <w:ind w:left="100" w:right="100" w:firstLine="640"/>
        <w:jc w:val="left"/>
        <w:rPr>
          <w:rFonts w:ascii="Times New Roman" w:hAnsi="Times New Roman" w:eastAsia="Times New Roman" w:cs="Times New Roman"/>
          <w:kern w:val="0"/>
          <w:sz w:val="24"/>
        </w:rPr>
      </w:pPr>
    </w:p>
    <w:p w14:paraId="0C14D0A7">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04"/>
      <w:bookmarkStart w:id="26" w:name="_Toc256000079"/>
      <w:bookmarkStart w:id="27" w:name="_Toc256000104"/>
      <w:bookmarkStart w:id="28" w:name="_Toc256000029"/>
      <w:bookmarkStart w:id="29" w:name="_Toc256000054"/>
      <w:bookmarkStart w:id="30" w:name="_Toc256000129"/>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385B2396">
      <w:pPr>
        <w:sectPr>
          <w:footerReference r:id="rId7" w:type="default"/>
          <w:pgSz w:w="11906" w:h="16838"/>
          <w:pgMar w:top="1440" w:right="720" w:bottom="1440" w:left="720" w:header="720" w:footer="720" w:gutter="0"/>
          <w:cols w:space="720" w:num="1"/>
        </w:sectPr>
      </w:pPr>
    </w:p>
    <w:p w14:paraId="2F7A452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6E144F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55"/>
      <w:bookmarkStart w:id="32" w:name="_Toc256000130"/>
      <w:bookmarkStart w:id="33" w:name="_Toc256000030"/>
      <w:bookmarkStart w:id="34" w:name="_Toc256000005"/>
      <w:bookmarkStart w:id="35" w:name="_Toc256000105"/>
      <w:bookmarkStart w:id="36" w:name="_Toc256000080"/>
      <w:r>
        <w:rPr>
          <w:rFonts w:ascii="黑体" w:hAnsi="黑体" w:eastAsia="黑体" w:cs="黑体"/>
          <w:b w:val="0"/>
          <w:bCs w:val="0"/>
          <w:spacing w:val="0"/>
        </w:rPr>
        <w:t>一、收入支出决算总表</w:t>
      </w:r>
      <w:bookmarkEnd w:id="31"/>
      <w:bookmarkEnd w:id="32"/>
      <w:bookmarkEnd w:id="33"/>
      <w:bookmarkEnd w:id="34"/>
      <w:bookmarkEnd w:id="35"/>
      <w:bookmarkEnd w:id="36"/>
    </w:p>
    <w:p w14:paraId="0541AB0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3789"/>
        <w:gridCol w:w="3790"/>
        <w:gridCol w:w="3790"/>
        <w:gridCol w:w="3790"/>
      </w:tblGrid>
      <w:tr w14:paraId="4F36F58C">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49A58DA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3C25DC54">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0BC3BBD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D8FED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27A36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76FC175C">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32B583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center"/>
          </w:tcPr>
          <w:p w14:paraId="4FEAC2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6E860CD">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259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2FE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6FC2B4F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863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58A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BAD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29E2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1B858C2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67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CC7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6EE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334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3A0A7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AD0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63B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BFB1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254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2CD4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955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ABE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979E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BC4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F550E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448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B8C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EA2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55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FD09D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7D9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38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E00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307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6BA6C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1BC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FC0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623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416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C562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72A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D81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5585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3D9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E6D21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307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065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31A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02A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r>
      <w:tr w14:paraId="77A38AF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BC5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802F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360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3FF5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r>
      <w:tr w14:paraId="76FB4DE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D3F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5C0C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069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3A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3089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D98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A6A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A18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E24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C06E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828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4EA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A67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F03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r>
      <w:tr w14:paraId="18F3378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C3D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E48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72D1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767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22FF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06B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4EA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696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38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54DFF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64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669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32F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164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3A0B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5DE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DDC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488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07D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F995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694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887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B1E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EF5A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9C5DF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844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C21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8DB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8A9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0C26E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728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700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056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86D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r>
      <w:tr w14:paraId="3ABBC2A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5A7E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670F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84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9D1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17D8E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2E5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72A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A88C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398E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BD7CB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9BB5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B6C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AB9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CA0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CA49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5FB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FFD0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562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D81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9C1D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753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29AB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64DC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BC5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8413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8BF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182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F14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7150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A214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762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CEB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13F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601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6AE41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E63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A17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C48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83C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r>
      <w:tr w14:paraId="556F831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FF2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F17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E4B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FD68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A16DE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C07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502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E41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A307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7A179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D8C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C2DD0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549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3FE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CE2F02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1A07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845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AD38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3D2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r>
      <w:tr w14:paraId="19AE9CAA">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090F75C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51F73E01">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27E4A6F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4DC4C804">
      <w:pPr>
        <w:sectPr>
          <w:footerReference r:id="rId8" w:type="default"/>
          <w:pgSz w:w="16383" w:h="11906" w:orient="landscape"/>
          <w:pgMar w:top="1134" w:right="720" w:bottom="1134" w:left="720" w:header="720" w:footer="720" w:gutter="0"/>
          <w:cols w:space="720" w:num="1"/>
        </w:sectPr>
      </w:pPr>
    </w:p>
    <w:p w14:paraId="4C5EAADA">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61637ED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31"/>
      <w:bookmarkStart w:id="38" w:name="_Toc256000131"/>
      <w:bookmarkStart w:id="39" w:name="_Toc256000006"/>
      <w:bookmarkStart w:id="40" w:name="_Toc256000081"/>
      <w:bookmarkStart w:id="41" w:name="_Toc256000056"/>
      <w:bookmarkStart w:id="42" w:name="_Toc256000106"/>
      <w:r>
        <w:rPr>
          <w:rFonts w:ascii="黑体" w:hAnsi="黑体" w:eastAsia="黑体" w:cs="黑体"/>
          <w:b w:val="0"/>
          <w:bCs w:val="0"/>
          <w:spacing w:val="0"/>
        </w:rPr>
        <w:t>二、收入决算表</w:t>
      </w:r>
      <w:bookmarkEnd w:id="37"/>
      <w:bookmarkEnd w:id="38"/>
      <w:bookmarkEnd w:id="39"/>
      <w:bookmarkEnd w:id="40"/>
      <w:bookmarkEnd w:id="41"/>
      <w:bookmarkEnd w:id="42"/>
    </w:p>
    <w:p w14:paraId="791B47E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0"/>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3FF791C4">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467C10E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71CF12F8">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7F568CB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697DC3C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5CD1DC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1C90A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0F5920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5A1166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45C2EF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FA1930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4F4E8B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A01A2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73CAD6CB">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34F84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bottom"/>
          </w:tcPr>
          <w:p w14:paraId="43C68B5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D984A6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0D8DA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21E20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44D1A4D">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2B8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033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265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3DFC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A0F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A4F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37C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7CA3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237E925D">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0A07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84F9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785DB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3109A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D0213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CA965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01291F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0A22F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791AB6">
            <w:pPr>
              <w:rPr>
                <w:rFonts w:ascii="Times New Roman" w:hAnsi="Times New Roman" w:eastAsia="Times New Roman" w:cs="Times New Roman"/>
                <w:b w:val="0"/>
                <w:bCs w:val="0"/>
                <w:i w:val="0"/>
                <w:iCs w:val="0"/>
                <w:smallCaps w:val="0"/>
                <w:color w:val="000000"/>
                <w:kern w:val="0"/>
                <w:sz w:val="26"/>
                <w:szCs w:val="26"/>
              </w:rPr>
            </w:pPr>
          </w:p>
        </w:tc>
      </w:tr>
      <w:tr w14:paraId="52300D15">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2CC0E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6818D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42F46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56955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5D2B2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2356A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90557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C3332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7E946F2">
            <w:pPr>
              <w:rPr>
                <w:rFonts w:ascii="Times New Roman" w:hAnsi="Times New Roman" w:eastAsia="Times New Roman" w:cs="Times New Roman"/>
                <w:b w:val="0"/>
                <w:bCs w:val="0"/>
                <w:i w:val="0"/>
                <w:iCs w:val="0"/>
                <w:smallCaps w:val="0"/>
                <w:color w:val="000000"/>
                <w:kern w:val="0"/>
                <w:sz w:val="26"/>
                <w:szCs w:val="26"/>
              </w:rPr>
            </w:pPr>
          </w:p>
        </w:tc>
      </w:tr>
      <w:tr w14:paraId="66CB21AB">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6D12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EFB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3A9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DA6F0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195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2388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495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09B1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4F9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A04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D6EA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6030F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430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C3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1789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E0F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776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DDB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5E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41E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E01F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0B951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29F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E1D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49D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0F3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72B8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1D5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A2BF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EEF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4A6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F8D72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5843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405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8CA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BACD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1E7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716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5B0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4AF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0F4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D85EF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108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9C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EA8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EE38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9F9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2DF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1D7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45D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373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88ABC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32F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35BC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098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B5C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764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346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1A2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474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F32B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79C84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E02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619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E18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4A0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B32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4D7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3DE3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83C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037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ECAC4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A837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500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655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91D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718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29B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DA9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E74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D3F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17406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713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E78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ED9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3290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194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116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272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07F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C96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B5F3E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D85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B3A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AFE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CAF1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B601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70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FAF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82C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EF3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A930F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412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452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536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C00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940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B3D7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C3B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8B6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8EE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EB4E7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F5D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DEB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其他水利支出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25C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9F6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E86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3DC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5B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922E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B4D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3CBC5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B36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3BB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B21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649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654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9F4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B4BD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182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A13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21BEA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0BB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B66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E70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021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E0A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391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1C6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F68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E2D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06042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895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540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BA7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2FE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1FA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87E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206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0A0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8559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CD788A">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4770B3A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6E6EFE03">
      <w:pPr>
        <w:sectPr>
          <w:footerReference r:id="rId9" w:type="default"/>
          <w:pgSz w:w="16383" w:h="11906" w:orient="landscape"/>
          <w:pgMar w:top="1134" w:right="720" w:bottom="1134" w:left="720" w:header="720" w:footer="720" w:gutter="0"/>
          <w:cols w:space="720" w:num="1"/>
        </w:sectPr>
      </w:pPr>
    </w:p>
    <w:p w14:paraId="32091387">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7B77789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57"/>
      <w:bookmarkStart w:id="44" w:name="_Toc256000107"/>
      <w:bookmarkStart w:id="45" w:name="_Toc256000032"/>
      <w:bookmarkStart w:id="46" w:name="_Toc256000132"/>
      <w:bookmarkStart w:id="47" w:name="_Toc256000007"/>
      <w:bookmarkStart w:id="48" w:name="_Toc256000082"/>
      <w:r>
        <w:rPr>
          <w:rFonts w:ascii="黑体" w:hAnsi="黑体" w:eastAsia="黑体" w:cs="黑体"/>
          <w:b w:val="0"/>
          <w:bCs w:val="0"/>
          <w:spacing w:val="0"/>
        </w:rPr>
        <w:t>三、支出决算表</w:t>
      </w:r>
      <w:bookmarkEnd w:id="43"/>
      <w:bookmarkEnd w:id="44"/>
      <w:bookmarkEnd w:id="45"/>
      <w:bookmarkEnd w:id="46"/>
      <w:bookmarkEnd w:id="47"/>
      <w:bookmarkEnd w:id="48"/>
    </w:p>
    <w:p w14:paraId="53D0C4F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2615676C">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592D5E2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08B99CDD">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1F489C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D3B5EB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45B535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9030EB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3D190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001A5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6CB72C1C">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0FD5C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bottom"/>
          </w:tcPr>
          <w:p w14:paraId="652CC16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8EABB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36383ED">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EB7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41A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E6C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C5C0A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58F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9A4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984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0C9D13AE">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774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69C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97E02A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685E4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FCD69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51E95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5045B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4BCDC5">
            <w:pPr>
              <w:rPr>
                <w:rFonts w:ascii="Times New Roman" w:hAnsi="Times New Roman" w:eastAsia="Times New Roman" w:cs="Times New Roman"/>
                <w:b w:val="0"/>
                <w:bCs w:val="0"/>
                <w:i w:val="0"/>
                <w:iCs w:val="0"/>
                <w:smallCaps w:val="0"/>
                <w:color w:val="000000"/>
                <w:kern w:val="0"/>
                <w:sz w:val="26"/>
                <w:szCs w:val="26"/>
              </w:rPr>
            </w:pPr>
          </w:p>
        </w:tc>
      </w:tr>
      <w:tr w14:paraId="0130D373">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ADAB3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39FBC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B3FB2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2A854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7A970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324A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0BB15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9EE701">
            <w:pPr>
              <w:rPr>
                <w:rFonts w:ascii="Times New Roman" w:hAnsi="Times New Roman" w:eastAsia="Times New Roman" w:cs="Times New Roman"/>
                <w:b w:val="0"/>
                <w:bCs w:val="0"/>
                <w:i w:val="0"/>
                <w:iCs w:val="0"/>
                <w:smallCaps w:val="0"/>
                <w:color w:val="000000"/>
                <w:kern w:val="0"/>
                <w:sz w:val="26"/>
                <w:szCs w:val="26"/>
              </w:rPr>
            </w:pPr>
          </w:p>
        </w:tc>
      </w:tr>
      <w:tr w14:paraId="09748A09">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E4B5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D06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467F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1836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1D6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0E7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0CD3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91C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18D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40C9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2CA4E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2BB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698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B61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278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F09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0CD7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937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686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41743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C4F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566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DC6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9B4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561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962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059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6C3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81043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51A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677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B1C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D5F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604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B4F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F0E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BF6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B082A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5AAD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93C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7C9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BA6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A61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0E2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A463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474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9672C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8A3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C57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8C7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B52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8A6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3D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C4C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76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19C46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7DD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890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655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EEE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9C17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969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05DD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C22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18343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9F8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368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AB2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730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848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776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6B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F92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CB09C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D35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352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283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447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05E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CD3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6EC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2A7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4D94B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5D0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2B7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168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71E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21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96D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86DF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035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B1EA9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2271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A96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304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80A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C1D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FB4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E1A2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D14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E2472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ADB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442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其他水利支出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875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9A4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7C5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4A5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AD9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6E8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53C8F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7C0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00C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CA8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FD9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440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4D8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073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6E48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0644B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6E1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150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26D7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40D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B6C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B58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75D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B914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5899C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035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E59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D2DF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956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D31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4A0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83B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79C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72D8E0">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31C5CC3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45F607EF">
      <w:pPr>
        <w:sectPr>
          <w:footerReference r:id="rId10" w:type="default"/>
          <w:pgSz w:w="16383" w:h="11906" w:orient="landscape"/>
          <w:pgMar w:top="1134" w:right="720" w:bottom="1134" w:left="720" w:header="720" w:footer="720" w:gutter="0"/>
          <w:cols w:space="720" w:num="1"/>
        </w:sectPr>
      </w:pPr>
    </w:p>
    <w:p w14:paraId="72D51F12">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3FE14CC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08"/>
      <w:bookmarkStart w:id="50" w:name="_Toc256000133"/>
      <w:bookmarkStart w:id="51" w:name="_Toc256000033"/>
      <w:bookmarkStart w:id="52" w:name="_Toc256000083"/>
      <w:bookmarkStart w:id="53" w:name="_Toc256000108"/>
      <w:bookmarkStart w:id="54" w:name="_Toc256000058"/>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1A55074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7B537F78">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3BD5F20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45CBCBF4">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0A45B6B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DAED8C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D97A2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7F556333">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0B1F47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bottom"/>
          </w:tcPr>
          <w:p w14:paraId="566C06E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7243C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101B4E0">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961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A95B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0F58640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A2E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C00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D1C1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571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B7E4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0D60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4DD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5CF209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86AA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3B95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3D2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B47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C0F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785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8FF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7EA9A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4DB4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97E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5C77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D92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B09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807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68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4DCC5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077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024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38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B40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F7F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A2ED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532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99BC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D62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EAF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3652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5C76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305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5F3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7CB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2A4B6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257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EED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0DF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1DA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6E6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995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F3B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B5D4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5AD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167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200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5D51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28A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BCF1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F66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51026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A41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AA9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526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C617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851F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D30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09A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7B32B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F4A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A20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716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562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D5C4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2D3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C820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0C69B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B3B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289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771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641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B99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3C6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D4A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984BD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758F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E904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BDF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2FD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E6A8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E2B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4FAF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F85BE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E8E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DC1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7AC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B90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39E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4A0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F9F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35EC8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9B9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52F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D858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4F1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DF2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C0C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6842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E38C0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47D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5B8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93B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019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3EC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239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8D9F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7009F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F550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EA7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801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23BB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1FB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D1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289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F2971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0CB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F04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4C7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170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826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F75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5DAE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35A1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1E4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F31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88B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FE4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5E1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895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082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DAF16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532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241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078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F30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88F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0E9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5A1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A105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14D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420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EDC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C4F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BB9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6C4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0D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1F19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F11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D3E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C06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391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135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B00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85C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2AF26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6CE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1DC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62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250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3F1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1C2C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28C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E32A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56F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128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7F8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5D7E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4F86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C37B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F19F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93B6C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C24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8644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9B4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4716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EE01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FA18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4F94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C94D5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7A9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E9A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CC6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D3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EB0D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4E8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CEC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B9874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3FD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01FB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D18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A9F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5E8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FEA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53F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9AD3D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22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CAEE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675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D6C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4DF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4D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3AC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9E9AB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42A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E88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1D6D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66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F0D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8DA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7A0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1ACFF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614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7D3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6BF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646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3A7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D88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B24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55C8A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C2F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15F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8746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8C5E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F5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94F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4F0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F1405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797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BDA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CBC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11F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906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6AC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708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CC17E1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414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BA8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8BC3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771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4CF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49B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89A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D5B933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9703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0C5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A3E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E58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139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456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127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5CA698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16A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033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988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F8B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274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38F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76F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FBA5D2">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72BE65F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336710C0">
      <w:pPr>
        <w:sectPr>
          <w:footerReference r:id="rId11" w:type="default"/>
          <w:pgSz w:w="16383" w:h="11906" w:orient="landscape"/>
          <w:pgMar w:top="1134" w:right="720" w:bottom="1134" w:left="720" w:header="720" w:footer="720" w:gutter="0"/>
          <w:cols w:space="720" w:num="1"/>
        </w:sectPr>
      </w:pPr>
    </w:p>
    <w:p w14:paraId="2DDC3044">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045D529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59"/>
      <w:bookmarkStart w:id="56" w:name="_Toc256000034"/>
      <w:bookmarkStart w:id="57" w:name="_Toc256000009"/>
      <w:bookmarkStart w:id="58" w:name="_Toc256000109"/>
      <w:bookmarkStart w:id="59" w:name="_Toc256000084"/>
      <w:bookmarkStart w:id="60" w:name="_Toc256000134"/>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7D6C933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0"/>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2A88223D">
        <w:trPr>
          <w:cantSplit/>
          <w:tblHeader/>
        </w:trPr>
        <w:tc>
          <w:tcPr>
            <w:tcW w:w="16381" w:type="dxa"/>
            <w:gridSpan w:val="5"/>
            <w:noWrap w:val="0"/>
            <w:tcMar>
              <w:top w:w="20" w:type="dxa"/>
              <w:left w:w="108" w:type="dxa"/>
              <w:bottom w:w="20" w:type="dxa"/>
              <w:right w:w="108" w:type="dxa"/>
            </w:tcMar>
            <w:vAlign w:val="center"/>
          </w:tcPr>
          <w:p w14:paraId="42049CC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2507E9B7">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3ECF026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DF6BBD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0BD3A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2937C7C2">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009599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gridSpan w:val="2"/>
            <w:noWrap w:val="0"/>
            <w:tcMar>
              <w:top w:w="20" w:type="dxa"/>
              <w:left w:w="108" w:type="dxa"/>
              <w:bottom w:w="20" w:type="dxa"/>
              <w:right w:w="108" w:type="dxa"/>
            </w:tcMar>
            <w:vAlign w:val="center"/>
          </w:tcPr>
          <w:p w14:paraId="39A933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3F6B2C2">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719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4F5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54410B57">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A4D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79F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93B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7D4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DED4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089BCA62">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21EF8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BA08C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671628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2AFAC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0B25AB">
            <w:pPr>
              <w:rPr>
                <w:rFonts w:ascii="Times New Roman" w:hAnsi="Times New Roman" w:eastAsia="Times New Roman" w:cs="Times New Roman"/>
                <w:b w:val="0"/>
                <w:bCs w:val="0"/>
                <w:i w:val="0"/>
                <w:iCs w:val="0"/>
                <w:smallCaps w:val="0"/>
                <w:color w:val="000000"/>
                <w:kern w:val="0"/>
                <w:sz w:val="26"/>
                <w:szCs w:val="26"/>
              </w:rPr>
            </w:pPr>
          </w:p>
        </w:tc>
      </w:tr>
      <w:tr w14:paraId="55E6BEDB">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7A2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D7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F2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5DD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C963B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37E8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4A6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E2E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46C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84E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948C0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964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E94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28F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125C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07E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FCACB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F11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EF2F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DC35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923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584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EBDE2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B15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4E72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4C1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E7D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FC6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0A1A1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2AF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604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4DD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74B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7AD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5BE02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FA5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128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28A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8CC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F65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8ED11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98B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FA8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D24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3BF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929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E0BD4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0A7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488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017F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E6F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ACA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98C36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0CE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992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058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472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1F9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247C8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05D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AE6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1A49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F8C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34C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5E9AB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FB5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A38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其他水利支出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E69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15F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56D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EF311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647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696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963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A63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A663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44AB3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3916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C72B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E2B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9CD9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02CC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7F3EA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688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C44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2F9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20B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888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4FD376">
        <w:tblPrEx>
          <w:tblCellMar>
            <w:top w:w="0" w:type="dxa"/>
            <w:left w:w="108" w:type="dxa"/>
            <w:bottom w:w="0" w:type="dxa"/>
            <w:right w:w="108" w:type="dxa"/>
          </w:tblCellMar>
        </w:tblPrEx>
        <w:trPr>
          <w:cantSplit/>
        </w:trPr>
        <w:tc>
          <w:tcPr>
            <w:tcW w:w="16381" w:type="dxa"/>
            <w:gridSpan w:val="5"/>
            <w:noWrap w:val="0"/>
            <w:tcMar>
              <w:top w:w="20" w:type="dxa"/>
              <w:left w:w="108" w:type="dxa"/>
              <w:bottom w:w="20" w:type="dxa"/>
              <w:right w:w="108" w:type="dxa"/>
            </w:tcMar>
            <w:vAlign w:val="center"/>
          </w:tcPr>
          <w:p w14:paraId="13C33F1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418B716A">
      <w:pPr>
        <w:sectPr>
          <w:footerReference r:id="rId12" w:type="default"/>
          <w:pgSz w:w="16383" w:h="11906" w:orient="landscape"/>
          <w:pgMar w:top="1134" w:right="720" w:bottom="1134" w:left="720" w:header="720" w:footer="720" w:gutter="0"/>
          <w:cols w:space="720" w:num="1"/>
        </w:sectPr>
      </w:pPr>
    </w:p>
    <w:p w14:paraId="3D35319A">
      <w:pPr>
        <w:widowControl/>
        <w:jc w:val="left"/>
        <w:rPr>
          <w:rFonts w:ascii="宋体" w:hAnsi="宋体" w:cs="宋体"/>
          <w:spacing w:val="0"/>
          <w:kern w:val="0"/>
          <w:sz w:val="23"/>
          <w:szCs w:val="23"/>
        </w:rPr>
      </w:pPr>
      <w:r>
        <w:rPr>
          <w:rFonts w:ascii="宋体" w:hAnsi="宋体" w:cs="宋体"/>
          <w:spacing w:val="0"/>
          <w:kern w:val="0"/>
          <w:sz w:val="23"/>
          <w:szCs w:val="23"/>
        </w:rPr>
        <w:t> </w:t>
      </w:r>
    </w:p>
    <w:p w14:paraId="782BA5B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60"/>
      <w:bookmarkStart w:id="62" w:name="_Toc256000010"/>
      <w:bookmarkStart w:id="63" w:name="_Toc256000035"/>
      <w:bookmarkStart w:id="64" w:name="_Toc256000110"/>
      <w:bookmarkStart w:id="65" w:name="_Toc256000135"/>
      <w:bookmarkStart w:id="66" w:name="_Toc256000085"/>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4496983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16CC797F">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7CE4DC29">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179E1EC0">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5614740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AAE6CF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916505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E56D0D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66862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456E48EB">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6BFC1E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bottom"/>
          </w:tcPr>
          <w:p w14:paraId="7F78E81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3A0AD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05668F4">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FA1B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0E5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2BF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F62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134F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4A7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A72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BAB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28B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3A33E32A">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74C59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B40C85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6D3EA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4578D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687C0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1FC79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D924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97D5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360BEE">
            <w:pPr>
              <w:rPr>
                <w:rFonts w:ascii="Times New Roman" w:hAnsi="Times New Roman" w:eastAsia="Times New Roman" w:cs="Times New Roman"/>
                <w:b w:val="0"/>
                <w:bCs w:val="0"/>
                <w:i w:val="0"/>
                <w:iCs w:val="0"/>
                <w:smallCaps w:val="0"/>
                <w:color w:val="000000"/>
                <w:kern w:val="0"/>
                <w:sz w:val="26"/>
                <w:szCs w:val="26"/>
              </w:rPr>
            </w:pPr>
          </w:p>
        </w:tc>
      </w:tr>
      <w:tr w14:paraId="2BA09DE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1F8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D5E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A10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6CB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517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F1D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D4C4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DF2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C0E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0E8C2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446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7AF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309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303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EFC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52EF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562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A9C1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C1F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16370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CBA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9EA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E0A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F9A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FB8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B1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2BC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1F96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F7B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B7622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389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8C8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1CF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F05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DCA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393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AA8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E937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9C3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320A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BB3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DDD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FC8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B7B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F066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2E1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B08E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E98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9172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4A597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5DC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FF5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3D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11.80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6ECE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ECDA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BF2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93DD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4D6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822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46C2E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D90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4511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A7A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0E9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F53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F1A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7CC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668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A04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55A64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883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14C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3F4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B35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6DC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2E1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D7F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D86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3E4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7305A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592B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388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137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C10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2FF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FAC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5A1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BB2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842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51A5A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E9F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427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5F3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455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2F4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9D9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DF7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5A6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B9B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0B333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238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EAB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318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4C3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18DE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468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BEC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A2A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669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7360F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D1A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287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60E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6175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C20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C92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479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589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251A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EC594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7B3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23F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8BD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6F0B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5A5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B4E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248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DBF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B22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E428C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477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87CE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677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79D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B12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509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091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6BE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74E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32120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7B6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0A2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540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DE9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D4E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0EC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611E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985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731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2FC86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6B4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1B5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58D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CB6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300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A42F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3966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363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ED17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2E2E4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5310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D70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19E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44C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E85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784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7531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7A7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4C8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5207D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6EA0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6F21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429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DD9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AC1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BB2F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F77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FAB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790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A94D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013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E6C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6BD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2879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A10A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4D1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B13D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2E0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17B4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F4724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B12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85D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624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97D2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227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D5B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6E4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6BD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676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4EA30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D0A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2B5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B0B0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B94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D6A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4D2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A2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6F7B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844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A7ACB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5A1A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852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5EC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55C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A4F2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7F1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A8CB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EE4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D81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5A308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46AE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E4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3BC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D32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9ED2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7BC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E0B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564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C2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666B0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1CC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F6A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CC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B6D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D17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FE1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ED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573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0B7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30B46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40A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ADE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90993">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E5E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01A9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08E74">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1.34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F8C4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4CA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7FF68">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6753CAE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699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C09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7616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C16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4144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445B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FC5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1E0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F88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3B79D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B2C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C95B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C78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9F8F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33C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1F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81B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BDE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598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7AE69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B244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4A0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AE9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D53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B52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B9F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CA0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A86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4D1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0DD7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69F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C5E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1B3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D33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279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12C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82E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634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A02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05D77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726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657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8C0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8B06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52F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9F5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BDC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503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4DF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28D67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A44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1B8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088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3112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31B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4D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B78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1CD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9CF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28E73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3EF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22A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420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500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82E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90DA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FBA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87D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8D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0783EF0">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774E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704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265.45</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BFF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E5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12.25</w:t>
            </w:r>
          </w:p>
        </w:tc>
      </w:tr>
      <w:tr w14:paraId="69564058">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602ADB3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741C9D4B">
      <w:pPr>
        <w:sectPr>
          <w:footerReference r:id="rId13" w:type="default"/>
          <w:pgSz w:w="16383" w:h="11906" w:orient="landscape"/>
          <w:pgMar w:top="1134" w:right="720" w:bottom="1134" w:left="720" w:header="720" w:footer="720" w:gutter="0"/>
          <w:cols w:space="720" w:num="1"/>
        </w:sectPr>
      </w:pPr>
    </w:p>
    <w:p w14:paraId="7D942D0B">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14:paraId="5AAAFFE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11"/>
      <w:bookmarkStart w:id="68" w:name="_Toc256000111"/>
      <w:bookmarkStart w:id="69" w:name="_Toc256000036"/>
      <w:bookmarkStart w:id="70" w:name="_Toc256000136"/>
      <w:bookmarkStart w:id="71" w:name="_Toc256000086"/>
      <w:bookmarkStart w:id="72" w:name="_Toc256000061"/>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4C92C43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5053"/>
        <w:gridCol w:w="5053"/>
        <w:gridCol w:w="5053"/>
      </w:tblGrid>
      <w:tr w14:paraId="4BC6E3FF">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03D4382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0FB7514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3A347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3B917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00B5EC12">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49DEF0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center"/>
          </w:tcPr>
          <w:p w14:paraId="7B739C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DB414B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169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D2DD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C262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75BA7B1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12E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74B4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02C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w:t>
            </w:r>
          </w:p>
        </w:tc>
      </w:tr>
      <w:tr w14:paraId="0137EB4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E2A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C41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E3E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2B557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9CCF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DF6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9607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w:t>
            </w:r>
          </w:p>
        </w:tc>
      </w:tr>
      <w:tr w14:paraId="082302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596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C56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E359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1245D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CEA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AB4E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40E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w:t>
            </w:r>
          </w:p>
        </w:tc>
      </w:tr>
      <w:tr w14:paraId="32AAA22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1D8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834F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1F2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73CD7C">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698E81D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5921BE07">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5D9DDF9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3F86EF40">
      <w:pPr>
        <w:sectPr>
          <w:footerReference r:id="rId14" w:type="default"/>
          <w:pgSz w:w="16383" w:h="11906" w:orient="landscape"/>
          <w:pgMar w:top="1134" w:right="720" w:bottom="1134" w:left="720" w:header="720" w:footer="720" w:gutter="0"/>
          <w:cols w:space="720" w:num="1"/>
        </w:sectPr>
      </w:pPr>
    </w:p>
    <w:p w14:paraId="078B081D">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112"/>
      <w:bookmarkStart w:id="74" w:name="_Toc256000062"/>
      <w:bookmarkStart w:id="75" w:name="_Toc256000087"/>
      <w:bookmarkStart w:id="76" w:name="_Toc256000037"/>
      <w:bookmarkStart w:id="77" w:name="_Toc256000012"/>
      <w:bookmarkStart w:id="78" w:name="_Toc256000137"/>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3247127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6A78DA9C">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1E6324B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3CE0D975">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3FC73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05E28B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FFE66D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067AD5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4E16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3D8E61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961244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5523A3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1FC86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3BDEBF49">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9AE39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bottom"/>
          </w:tcPr>
          <w:p w14:paraId="191DBEE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BC80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F6B7B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DF5819F">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147C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2D9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361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803E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7CF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0C5E4418">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AA7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FD1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1B01B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DA8A4F">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3276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41FD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01D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0BB8278">
            <w:pPr>
              <w:rPr>
                <w:rFonts w:ascii="Times New Roman" w:hAnsi="Times New Roman" w:eastAsia="Times New Roman" w:cs="Times New Roman"/>
                <w:b w:val="0"/>
                <w:bCs w:val="0"/>
                <w:i w:val="0"/>
                <w:iCs w:val="0"/>
                <w:smallCaps w:val="0"/>
                <w:color w:val="000000"/>
                <w:kern w:val="0"/>
                <w:sz w:val="26"/>
                <w:szCs w:val="26"/>
              </w:rPr>
            </w:pPr>
          </w:p>
        </w:tc>
      </w:tr>
      <w:tr w14:paraId="10802D89">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0475E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DF010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19992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AC153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3440D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7D323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3E9C9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2E0E9A">
            <w:pPr>
              <w:rPr>
                <w:rFonts w:ascii="Times New Roman" w:hAnsi="Times New Roman" w:eastAsia="Times New Roman" w:cs="Times New Roman"/>
                <w:b w:val="0"/>
                <w:bCs w:val="0"/>
                <w:i w:val="0"/>
                <w:iCs w:val="0"/>
                <w:smallCaps w:val="0"/>
                <w:color w:val="000000"/>
                <w:kern w:val="0"/>
                <w:sz w:val="26"/>
                <w:szCs w:val="26"/>
              </w:rPr>
            </w:pPr>
          </w:p>
        </w:tc>
      </w:tr>
      <w:tr w14:paraId="7E5E998F">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265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1A9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E6D0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8CC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78C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1F2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CFAD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911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3B55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3E1D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561C954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6A2BA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1A049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DB7627">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29F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E20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DDC9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7D1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940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CF3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26C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499B9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5EE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2D5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790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81F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ED6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668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F0C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D79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B3425AE">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191B85A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6364B92E">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48B7861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1E731B13">
      <w:pPr>
        <w:sectPr>
          <w:footerReference r:id="rId15" w:type="default"/>
          <w:pgSz w:w="16383" w:h="11906" w:orient="landscape"/>
          <w:pgMar w:top="1134" w:right="720" w:bottom="1134" w:left="720" w:header="720" w:footer="720" w:gutter="0"/>
          <w:cols w:space="720" w:num="1"/>
        </w:sectPr>
      </w:pPr>
    </w:p>
    <w:p w14:paraId="67293D1C">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spacing w:val="0"/>
          <w:kern w:val="0"/>
          <w:sz w:val="32"/>
          <w:szCs w:val="32"/>
        </w:rPr>
        <w:t>九、国有资本经营预算财政拨款支出决算表</w:t>
      </w:r>
    </w:p>
    <w:p w14:paraId="14F9A40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0"/>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5607B67E">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1C5D400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5E5D3092">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82FE1A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D1A005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ACC92A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D8CF4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53A3B4CD">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12C643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编制单位：仙游县水政监察大队</w:t>
            </w:r>
          </w:p>
        </w:tc>
        <w:tc>
          <w:tcPr>
            <w:tcW w:w="21600" w:type="dxa"/>
            <w:noWrap w:val="0"/>
            <w:tcMar>
              <w:top w:w="20" w:type="dxa"/>
              <w:left w:w="108" w:type="dxa"/>
              <w:bottom w:w="20" w:type="dxa"/>
              <w:right w:w="108" w:type="dxa"/>
            </w:tcMar>
            <w:vAlign w:val="center"/>
          </w:tcPr>
          <w:p w14:paraId="7C0CF9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4347968">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81D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ED2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3351FB9C">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C66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222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6304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314D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84C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39039BFE">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772D9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EE00E2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9009B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5DDA4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8A3FD7">
            <w:pPr>
              <w:rPr>
                <w:rFonts w:ascii="Times New Roman" w:hAnsi="Times New Roman" w:eastAsia="Times New Roman" w:cs="Times New Roman"/>
                <w:b w:val="0"/>
                <w:bCs w:val="0"/>
                <w:i w:val="0"/>
                <w:iCs w:val="0"/>
                <w:smallCaps w:val="0"/>
                <w:color w:val="000000"/>
                <w:kern w:val="0"/>
                <w:sz w:val="26"/>
                <w:szCs w:val="26"/>
              </w:rPr>
            </w:pPr>
          </w:p>
        </w:tc>
      </w:tr>
      <w:tr w14:paraId="6BDFAC99">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98BAD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61690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0BAC7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068BF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2DED48">
            <w:pPr>
              <w:rPr>
                <w:rFonts w:ascii="Times New Roman" w:hAnsi="Times New Roman" w:eastAsia="Times New Roman" w:cs="Times New Roman"/>
                <w:b w:val="0"/>
                <w:bCs w:val="0"/>
                <w:i w:val="0"/>
                <w:iCs w:val="0"/>
                <w:smallCaps w:val="0"/>
                <w:color w:val="000000"/>
                <w:kern w:val="0"/>
                <w:sz w:val="26"/>
                <w:szCs w:val="26"/>
              </w:rPr>
            </w:pPr>
          </w:p>
        </w:tc>
      </w:tr>
      <w:tr w14:paraId="56B9DB98">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47E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FB3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C21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620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106143B2">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46E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3F8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C36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A31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0718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EDE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7C0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84B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74F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912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3726903">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72365D0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33946D31">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376E645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6AD266E6">
      <w:pPr>
        <w:sectPr>
          <w:footerReference r:id="rId16" w:type="default"/>
          <w:pgSz w:w="16383" w:h="11906" w:orient="landscape"/>
          <w:pgMar w:top="1134" w:right="720" w:bottom="1134" w:left="720" w:header="720" w:footer="720" w:gutter="0"/>
          <w:cols w:space="720" w:num="1"/>
        </w:sectPr>
      </w:pPr>
    </w:p>
    <w:p w14:paraId="5443FDB2">
      <w:pPr>
        <w:pStyle w:val="30"/>
        <w:widowControl/>
        <w:spacing w:before="240" w:after="240"/>
        <w:jc w:val="left"/>
        <w:rPr>
          <w:rFonts w:ascii="Times New Roman" w:hAnsi="Times New Roman" w:eastAsia="Times New Roman" w:cs="Times New Roman"/>
          <w:kern w:val="0"/>
          <w:sz w:val="24"/>
        </w:rPr>
      </w:pPr>
    </w:p>
    <w:p w14:paraId="1A62C6D0">
      <w:pPr>
        <w:pStyle w:val="30"/>
        <w:widowControl/>
        <w:spacing w:before="240" w:after="240"/>
        <w:jc w:val="left"/>
        <w:rPr>
          <w:rFonts w:ascii="Times New Roman" w:hAnsi="Times New Roman" w:eastAsia="Times New Roman" w:cs="Times New Roman"/>
          <w:kern w:val="0"/>
          <w:sz w:val="24"/>
        </w:rPr>
      </w:pPr>
    </w:p>
    <w:p w14:paraId="356A93C1">
      <w:pPr>
        <w:pStyle w:val="30"/>
        <w:widowControl/>
        <w:spacing w:before="240" w:after="240"/>
        <w:jc w:val="left"/>
        <w:rPr>
          <w:rFonts w:ascii="Times New Roman" w:hAnsi="Times New Roman" w:eastAsia="Times New Roman" w:cs="Times New Roman"/>
          <w:kern w:val="0"/>
          <w:sz w:val="24"/>
        </w:rPr>
      </w:pPr>
    </w:p>
    <w:p w14:paraId="40FF0DB1">
      <w:pPr>
        <w:pStyle w:val="30"/>
        <w:widowControl/>
        <w:spacing w:before="240" w:after="240"/>
        <w:jc w:val="left"/>
        <w:rPr>
          <w:rFonts w:ascii="Times New Roman" w:hAnsi="Times New Roman" w:eastAsia="Times New Roman" w:cs="Times New Roman"/>
          <w:kern w:val="0"/>
          <w:sz w:val="24"/>
        </w:rPr>
      </w:pPr>
    </w:p>
    <w:p w14:paraId="389645A0">
      <w:pPr>
        <w:pStyle w:val="30"/>
        <w:widowControl/>
        <w:spacing w:before="240" w:after="240"/>
        <w:jc w:val="left"/>
        <w:rPr>
          <w:rFonts w:ascii="Times New Roman" w:hAnsi="Times New Roman" w:eastAsia="Times New Roman" w:cs="Times New Roman"/>
          <w:kern w:val="0"/>
          <w:sz w:val="24"/>
        </w:rPr>
      </w:pPr>
    </w:p>
    <w:p w14:paraId="759BA1C0">
      <w:pPr>
        <w:pStyle w:val="30"/>
        <w:widowControl/>
        <w:spacing w:before="240" w:after="240"/>
        <w:jc w:val="left"/>
        <w:rPr>
          <w:rFonts w:ascii="Times New Roman" w:hAnsi="Times New Roman" w:eastAsia="Times New Roman" w:cs="Times New Roman"/>
          <w:kern w:val="0"/>
          <w:sz w:val="24"/>
        </w:rPr>
      </w:pPr>
    </w:p>
    <w:p w14:paraId="3D1F04AF">
      <w:pPr>
        <w:pStyle w:val="30"/>
        <w:widowControl/>
        <w:spacing w:before="240" w:after="240"/>
        <w:jc w:val="left"/>
        <w:rPr>
          <w:rFonts w:ascii="Times New Roman" w:hAnsi="Times New Roman" w:eastAsia="Times New Roman" w:cs="Times New Roman"/>
          <w:kern w:val="0"/>
          <w:sz w:val="24"/>
        </w:rPr>
      </w:pPr>
    </w:p>
    <w:p w14:paraId="433F55D8">
      <w:pPr>
        <w:pStyle w:val="30"/>
        <w:widowControl/>
        <w:spacing w:before="240" w:after="240"/>
        <w:jc w:val="left"/>
        <w:rPr>
          <w:rFonts w:ascii="Times New Roman" w:hAnsi="Times New Roman" w:eastAsia="Times New Roman" w:cs="Times New Roman"/>
          <w:kern w:val="0"/>
          <w:sz w:val="24"/>
        </w:rPr>
      </w:pPr>
    </w:p>
    <w:p w14:paraId="689E8586">
      <w:pPr>
        <w:pStyle w:val="30"/>
        <w:widowControl/>
        <w:spacing w:before="240" w:after="240"/>
        <w:jc w:val="left"/>
        <w:rPr>
          <w:rFonts w:ascii="Times New Roman" w:hAnsi="Times New Roman" w:eastAsia="Times New Roman" w:cs="Times New Roman"/>
          <w:kern w:val="0"/>
          <w:sz w:val="24"/>
        </w:rPr>
      </w:pPr>
    </w:p>
    <w:p w14:paraId="7077BD21">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79" w:name="_Toc256000088"/>
      <w:bookmarkStart w:id="80" w:name="_Toc256000113"/>
      <w:bookmarkStart w:id="81" w:name="_Toc256000038"/>
      <w:bookmarkStart w:id="82" w:name="_Toc256000013"/>
      <w:bookmarkStart w:id="83" w:name="_Toc256000138"/>
      <w:bookmarkStart w:id="84" w:name="_Toc256000063"/>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79"/>
      <w:bookmarkEnd w:id="80"/>
      <w:bookmarkEnd w:id="81"/>
      <w:bookmarkEnd w:id="82"/>
      <w:bookmarkEnd w:id="83"/>
      <w:bookmarkEnd w:id="84"/>
    </w:p>
    <w:p w14:paraId="613D9582">
      <w:pPr>
        <w:sectPr>
          <w:footerReference r:id="rId17" w:type="default"/>
          <w:pgSz w:w="11906" w:h="16838"/>
          <w:pgMar w:top="1440" w:right="720" w:bottom="1440" w:left="720" w:header="720" w:footer="720" w:gutter="0"/>
          <w:cols w:space="720" w:num="1"/>
        </w:sectPr>
      </w:pPr>
    </w:p>
    <w:p w14:paraId="51D6904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64D45D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5" w:name="_Toc256000114"/>
      <w:bookmarkStart w:id="86" w:name="_Toc256000089"/>
      <w:bookmarkStart w:id="87" w:name="_Toc256000014"/>
      <w:bookmarkStart w:id="88" w:name="_Toc256000139"/>
      <w:bookmarkStart w:id="89" w:name="_Toc256000039"/>
      <w:bookmarkStart w:id="90" w:name="_Toc256000064"/>
      <w:r>
        <w:rPr>
          <w:rFonts w:ascii="黑体" w:hAnsi="黑体" w:eastAsia="黑体" w:cs="黑体"/>
          <w:b w:val="0"/>
          <w:bCs w:val="0"/>
          <w:spacing w:val="0"/>
        </w:rPr>
        <w:t>一、收入支出决算总体情况说明</w:t>
      </w:r>
      <w:bookmarkEnd w:id="85"/>
      <w:bookmarkEnd w:id="86"/>
      <w:bookmarkEnd w:id="87"/>
      <w:bookmarkEnd w:id="88"/>
      <w:bookmarkEnd w:id="89"/>
      <w:bookmarkEnd w:id="90"/>
    </w:p>
    <w:p w14:paraId="4729AD6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05E409F0">
      <w:pPr>
        <w:pStyle w:val="30"/>
        <w:widowControl/>
        <w:spacing w:before="100" w:after="100" w:line="560" w:lineRule="atLeast"/>
        <w:ind w:left="100" w:right="100" w:firstLine="64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2024年度本单位收入总计277.70万元，支出总计277.70万元，与上年决算数相比，各减少165.89万元，各</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37.40%。主要是</w:t>
      </w:r>
      <w:r>
        <w:rPr>
          <w:rFonts w:hint="eastAsia" w:ascii="仿宋_GB2312" w:hAnsi="仿宋_GB2312" w:eastAsia="仿宋_GB2312" w:cs="仿宋_GB2312"/>
          <w:spacing w:val="0"/>
          <w:kern w:val="0"/>
          <w:sz w:val="32"/>
          <w:szCs w:val="32"/>
          <w:lang w:val="en-US" w:eastAsia="zh-CN"/>
        </w:rPr>
        <w:t>仙游县水政监察大队于2024年8月并入仙游县河务管理中心，该数据为2024年1-7月的合计，故收入和支出总额均下降。</w:t>
      </w:r>
    </w:p>
    <w:p w14:paraId="2CE84F2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749C383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2024年度收入277.70万元，比上年决算数</w:t>
      </w:r>
      <w:r>
        <w:rPr>
          <w:rFonts w:ascii="仿宋_GB2312" w:hAnsi="仿宋_GB2312" w:eastAsia="仿宋_GB2312" w:cs="仿宋_GB2312"/>
          <w:kern w:val="0"/>
          <w:sz w:val="32"/>
          <w:szCs w:val="32"/>
        </w:rPr>
        <w:t>减少</w:t>
      </w:r>
      <w:r>
        <w:rPr>
          <w:rFonts w:ascii="仿宋_GB2312" w:hAnsi="仿宋_GB2312" w:eastAsia="仿宋_GB2312" w:cs="仿宋_GB2312"/>
          <w:spacing w:val="0"/>
          <w:kern w:val="0"/>
          <w:sz w:val="32"/>
          <w:szCs w:val="32"/>
        </w:rPr>
        <w:t>165.89万元，</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37.40%，具体情况如下：</w:t>
      </w:r>
    </w:p>
    <w:p w14:paraId="2C9F33C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1.一般公共预算财政拨款收入277.70万元。</w:t>
      </w:r>
    </w:p>
    <w:p w14:paraId="435A607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1367416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3046D6C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4298CF6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2C6F4F1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2D4B9D61">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1C3ADD4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7B669AB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01E3D39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2024年度支出277.70万元，比上年决算数减少165.89万元，下降37.40%，具体情况如下：</w:t>
      </w:r>
    </w:p>
    <w:p w14:paraId="2E3BE9B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1.基本支出277.70万元。其中，人员支出265.45万元，公用支出12.25万元。</w:t>
      </w:r>
    </w:p>
    <w:p w14:paraId="0EEE33D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45B3CAD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410EF891">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09B9C94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7420F9E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40"/>
      <w:bookmarkStart w:id="92" w:name="_Toc256000065"/>
      <w:bookmarkStart w:id="93" w:name="_Toc256000140"/>
      <w:bookmarkStart w:id="94" w:name="_Toc256000090"/>
      <w:bookmarkStart w:id="95" w:name="_Toc256000115"/>
      <w:bookmarkStart w:id="96" w:name="_Toc256000015"/>
      <w:r>
        <w:rPr>
          <w:rFonts w:ascii="黑体" w:hAnsi="黑体" w:eastAsia="黑体" w:cs="黑体"/>
          <w:b w:val="0"/>
          <w:bCs w:val="0"/>
          <w:spacing w:val="0"/>
        </w:rPr>
        <w:t>二、财政拨款收入支出决算总体情况说明</w:t>
      </w:r>
      <w:bookmarkEnd w:id="91"/>
      <w:bookmarkEnd w:id="92"/>
      <w:bookmarkEnd w:id="93"/>
      <w:bookmarkEnd w:id="94"/>
      <w:bookmarkEnd w:id="95"/>
      <w:bookmarkEnd w:id="96"/>
    </w:p>
    <w:p w14:paraId="1F0DF28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2024年度财政拨款收入总计277.70万元，支出总计277.70万元，与上年决算数相比，各减少165.89万元，下降37.40%，主要是：</w:t>
      </w:r>
      <w:r>
        <w:rPr>
          <w:rFonts w:hint="eastAsia" w:ascii="仿宋_GB2312" w:hAnsi="仿宋_GB2312" w:eastAsia="仿宋_GB2312" w:cs="仿宋_GB2312"/>
          <w:spacing w:val="0"/>
          <w:kern w:val="0"/>
          <w:sz w:val="32"/>
          <w:szCs w:val="32"/>
          <w:lang w:val="en-US" w:eastAsia="zh-CN"/>
        </w:rPr>
        <w:t>仙游县水政监察大队于2024年8月并入仙游县河务管理中心，该数据为2024年1-7月的合计，故收入和支出总额下降。</w:t>
      </w:r>
    </w:p>
    <w:p w14:paraId="3100528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7" w:name="_Toc256000041"/>
      <w:bookmarkStart w:id="98" w:name="_Toc256000016"/>
      <w:bookmarkStart w:id="99" w:name="_Toc256000141"/>
      <w:bookmarkStart w:id="100" w:name="_Toc256000091"/>
      <w:bookmarkStart w:id="101" w:name="_Toc256000066"/>
      <w:bookmarkStart w:id="102" w:name="_Toc256000116"/>
      <w:r>
        <w:rPr>
          <w:rFonts w:ascii="黑体" w:hAnsi="黑体" w:eastAsia="黑体" w:cs="黑体"/>
          <w:b w:val="0"/>
          <w:bCs w:val="0"/>
          <w:spacing w:val="0"/>
        </w:rPr>
        <w:t>三、一般公共预算财政拨款支出决算情况说明</w:t>
      </w:r>
      <w:bookmarkEnd w:id="97"/>
      <w:bookmarkEnd w:id="98"/>
      <w:bookmarkEnd w:id="99"/>
      <w:bookmarkEnd w:id="100"/>
      <w:bookmarkEnd w:id="101"/>
      <w:bookmarkEnd w:id="102"/>
    </w:p>
    <w:p w14:paraId="3DB7BB7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2024年一般公共预算财政拨款支出277.70万元，比上年决算数减少165.89万元，下降37.40%，具体情况如下(按</w:t>
      </w:r>
      <w:r>
        <w:rPr>
          <w:rStyle w:val="31"/>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29CC7DBF">
      <w:pPr>
        <w:pStyle w:val="30"/>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  （一）2080505 机关事业单位基本养老保险缴费支出 25.20万元，较上年决算数减少17.07万元，下降40.38%。主要原因是</w:t>
      </w:r>
      <w:r>
        <w:rPr>
          <w:rFonts w:hint="eastAsia" w:ascii="仿宋_GB2312" w:hAnsi="仿宋_GB2312" w:eastAsia="仿宋_GB2312" w:cs="仿宋_GB2312"/>
          <w:spacing w:val="0"/>
          <w:kern w:val="0"/>
          <w:sz w:val="32"/>
          <w:szCs w:val="32"/>
          <w:lang w:val="en-US" w:eastAsia="zh-CN"/>
        </w:rPr>
        <w:t>该数据为2024年1-7月的合计数，故支出总额下降。</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  （二）2101102 事业单位医疗 7.70万元，较上年决算数减少4.93万元，下降39.03%。主要原因是</w:t>
      </w:r>
      <w:r>
        <w:rPr>
          <w:rFonts w:hint="eastAsia" w:ascii="仿宋_GB2312" w:hAnsi="仿宋_GB2312" w:eastAsia="仿宋_GB2312" w:cs="仿宋_GB2312"/>
          <w:spacing w:val="0"/>
          <w:kern w:val="0"/>
          <w:sz w:val="32"/>
          <w:szCs w:val="32"/>
          <w:lang w:val="en-US" w:eastAsia="zh-CN"/>
        </w:rPr>
        <w:t>该数据为2024年1-7月的合计数，故支出总额下降。</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  （三）2130199 其他农业农村支出 1.56万元，较上年决算数增加1.56万元。主要原因是</w:t>
      </w:r>
      <w:r>
        <w:rPr>
          <w:rFonts w:hint="eastAsia" w:ascii="仿宋_GB2312" w:hAnsi="仿宋_GB2312" w:eastAsia="仿宋_GB2312" w:cs="仿宋_GB2312"/>
          <w:spacing w:val="0"/>
          <w:kern w:val="0"/>
          <w:sz w:val="32"/>
          <w:szCs w:val="32"/>
          <w:lang w:val="en-US" w:eastAsia="zh-CN"/>
        </w:rPr>
        <w:t>该数据为2024年1-7月的合计数，故支出总额下降。</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  （四）2130399 其他水利支出 221.35万元，较上年决算数减少130.75万元，下降37.13%。主要原因是</w:t>
      </w:r>
      <w:r>
        <w:rPr>
          <w:rFonts w:hint="eastAsia" w:ascii="仿宋_GB2312" w:hAnsi="仿宋_GB2312" w:eastAsia="仿宋_GB2312" w:cs="仿宋_GB2312"/>
          <w:spacing w:val="0"/>
          <w:kern w:val="0"/>
          <w:sz w:val="32"/>
          <w:szCs w:val="32"/>
          <w:lang w:val="en-US" w:eastAsia="zh-CN"/>
        </w:rPr>
        <w:t>该数据为2024年1-7月的合计数，故支出总额下降。</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  （五）2210201 住房公积金 21.90万元，较上年决算数减少14.69万元，下降40.16%。主要原因是</w:t>
      </w:r>
      <w:r>
        <w:rPr>
          <w:rFonts w:hint="eastAsia" w:ascii="仿宋_GB2312" w:hAnsi="仿宋_GB2312" w:eastAsia="仿宋_GB2312" w:cs="仿宋_GB2312"/>
          <w:spacing w:val="0"/>
          <w:kern w:val="0"/>
          <w:sz w:val="32"/>
          <w:szCs w:val="32"/>
          <w:lang w:val="en-US" w:eastAsia="zh-CN"/>
        </w:rPr>
        <w:t>该数据为2024年1-7月的合计数，故支出总额下降。</w:t>
      </w:r>
    </w:p>
    <w:p w14:paraId="47AC6A8F">
      <w:pPr>
        <w:pStyle w:val="30"/>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注：没有一般公共预算财政拨款支出的单位，首句不能删掉，并说明“本单位2024年度没有使用一般公共预算财政拨款安排的支出”。</w:t>
      </w:r>
    </w:p>
    <w:p w14:paraId="6462846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92"/>
      <w:bookmarkStart w:id="104" w:name="_Toc256000042"/>
      <w:bookmarkStart w:id="105" w:name="_Toc256000117"/>
      <w:bookmarkStart w:id="106" w:name="_Toc256000017"/>
      <w:bookmarkStart w:id="107" w:name="_Toc256000142"/>
      <w:bookmarkStart w:id="108" w:name="_Toc256000067"/>
      <w:r>
        <w:rPr>
          <w:rFonts w:ascii="黑体" w:hAnsi="黑体" w:eastAsia="黑体" w:cs="黑体"/>
          <w:b w:val="0"/>
          <w:bCs w:val="0"/>
          <w:spacing w:val="0"/>
        </w:rPr>
        <w:t>四、政府性基金预算财政拨款支出决算情况说明</w:t>
      </w:r>
      <w:bookmarkEnd w:id="103"/>
      <w:bookmarkEnd w:id="104"/>
      <w:bookmarkEnd w:id="105"/>
      <w:bookmarkEnd w:id="106"/>
      <w:bookmarkEnd w:id="107"/>
      <w:bookmarkEnd w:id="108"/>
    </w:p>
    <w:p w14:paraId="1D2BC46C">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2024年度政府性基金支出0万元，比上年决算数增加0万元，具体情况如下(按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r>
        <w:rPr>
          <w:rFonts w:ascii="仿宋_GB2312" w:hAnsi="仿宋_GB2312" w:eastAsia="仿宋_GB2312" w:cs="仿宋_GB2312"/>
          <w:kern w:val="0"/>
          <w:sz w:val="32"/>
          <w:szCs w:val="32"/>
        </w:rPr>
        <w:t>本单位2024年度没有使用政府性基金预算财政拨款安排的支出</w:t>
      </w:r>
      <w:r>
        <w:rPr>
          <w:rFonts w:hint="eastAsia" w:ascii="仿宋_GB2312" w:hAnsi="仿宋_GB2312" w:eastAsia="仿宋_GB2312" w:cs="仿宋_GB2312"/>
          <w:kern w:val="0"/>
          <w:sz w:val="32"/>
          <w:szCs w:val="32"/>
          <w:lang w:eastAsia="zh-CN"/>
        </w:rPr>
        <w:t>。</w:t>
      </w:r>
    </w:p>
    <w:p w14:paraId="034614C1">
      <w:pPr>
        <w:pStyle w:val="30"/>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注：没有政府性基金拨款支出的单位，首句不能删掉，并说明“本单位2024年度没有使用政府性基金预算财政拨款安排的支出”。</w:t>
      </w:r>
    </w:p>
    <w:p w14:paraId="6D6FA82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18"/>
      <w:bookmarkStart w:id="110" w:name="_Toc256000068"/>
      <w:bookmarkStart w:id="111" w:name="_Toc256000143"/>
      <w:bookmarkStart w:id="112" w:name="_Toc256000093"/>
      <w:bookmarkStart w:id="113" w:name="_Toc256000118"/>
      <w:bookmarkStart w:id="114" w:name="_Toc256000043"/>
      <w:r>
        <w:rPr>
          <w:rFonts w:ascii="黑体" w:hAnsi="黑体" w:eastAsia="黑体" w:cs="黑体"/>
          <w:b w:val="0"/>
          <w:bCs w:val="0"/>
          <w:spacing w:val="0"/>
        </w:rPr>
        <w:t>五、国有资本经营预算财政拨款支出决算情况说明</w:t>
      </w:r>
      <w:bookmarkEnd w:id="109"/>
      <w:bookmarkEnd w:id="110"/>
      <w:bookmarkEnd w:id="111"/>
      <w:bookmarkEnd w:id="112"/>
      <w:bookmarkEnd w:id="113"/>
      <w:bookmarkEnd w:id="114"/>
    </w:p>
    <w:p w14:paraId="3A377944">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2024年度国有资本经营预算支出0万元，比上年决算数增加0万元，具体情况如下(按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r>
        <w:rPr>
          <w:rFonts w:ascii="仿宋_GB2312" w:hAnsi="仿宋_GB2312" w:eastAsia="仿宋_GB2312" w:cs="仿宋_GB2312"/>
          <w:kern w:val="0"/>
          <w:sz w:val="32"/>
          <w:szCs w:val="32"/>
        </w:rPr>
        <w:t>本单位2024年度没有使用国有资本经营预算财政拨款安排的支出</w:t>
      </w:r>
      <w:r>
        <w:rPr>
          <w:rFonts w:hint="eastAsia" w:ascii="仿宋_GB2312" w:hAnsi="仿宋_GB2312" w:eastAsia="仿宋_GB2312" w:cs="仿宋_GB2312"/>
          <w:kern w:val="0"/>
          <w:sz w:val="32"/>
          <w:szCs w:val="32"/>
          <w:lang w:eastAsia="zh-CN"/>
        </w:rPr>
        <w:t>。</w:t>
      </w:r>
    </w:p>
    <w:p w14:paraId="71E0F9EE">
      <w:pPr>
        <w:pStyle w:val="30"/>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注：没有国有资本经营预算财政拨款支出的单位，首句不能删掉，并说明“本单位2024年度没有使用国有资本经营预算财政拨款安排的支出”。</w:t>
      </w:r>
    </w:p>
    <w:p w14:paraId="7901B71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44"/>
      <w:bookmarkStart w:id="116" w:name="_Toc256000119"/>
      <w:bookmarkStart w:id="117" w:name="_Toc256000144"/>
      <w:bookmarkStart w:id="118" w:name="_Toc256000069"/>
      <w:bookmarkStart w:id="119" w:name="_Toc256000019"/>
      <w:bookmarkStart w:id="120" w:name="_Toc256000094"/>
      <w:r>
        <w:rPr>
          <w:rFonts w:ascii="黑体" w:hAnsi="黑体" w:eastAsia="黑体" w:cs="黑体"/>
          <w:b w:val="0"/>
          <w:bCs w:val="0"/>
          <w:spacing w:val="0"/>
        </w:rPr>
        <w:t>六、一般公共预算财政拨款基本支出决算情况说明</w:t>
      </w:r>
      <w:bookmarkEnd w:id="115"/>
      <w:bookmarkEnd w:id="116"/>
      <w:bookmarkEnd w:id="117"/>
      <w:bookmarkEnd w:id="118"/>
      <w:bookmarkEnd w:id="119"/>
      <w:bookmarkEnd w:id="120"/>
    </w:p>
    <w:p w14:paraId="1DAD84E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2024年度一般公共预算财政拨款基本支出277.70万元，其中：</w:t>
      </w:r>
    </w:p>
    <w:p w14:paraId="5393C67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265.45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9BCD45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12.25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D250C8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45"/>
      <w:bookmarkStart w:id="122" w:name="_Toc256000120"/>
      <w:bookmarkStart w:id="123" w:name="_Toc256000095"/>
      <w:bookmarkStart w:id="124" w:name="_Toc256000070"/>
      <w:bookmarkStart w:id="125" w:name="_Toc256000145"/>
      <w:bookmarkStart w:id="126" w:name="_Toc256000020"/>
      <w:r>
        <w:rPr>
          <w:rFonts w:ascii="黑体" w:hAnsi="黑体" w:eastAsia="黑体" w:cs="黑体"/>
          <w:b w:val="0"/>
          <w:bCs w:val="0"/>
          <w:spacing w:val="0"/>
        </w:rPr>
        <w:t>七、一般公共预算拨款“三公”经费支出决算情况说明</w:t>
      </w:r>
      <w:bookmarkEnd w:id="121"/>
      <w:bookmarkEnd w:id="122"/>
      <w:bookmarkEnd w:id="123"/>
      <w:bookmarkEnd w:id="124"/>
      <w:bookmarkEnd w:id="125"/>
      <w:bookmarkEnd w:id="126"/>
    </w:p>
    <w:p w14:paraId="7F11D9A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2024年度一般公共预算拨款“三公”经费支出1.34万元，完成全年预算的100.00%；较上年减少0.55万元，下降29.04%。主要原因是</w:t>
      </w:r>
      <w:r>
        <w:rPr>
          <w:rFonts w:hint="eastAsia" w:ascii="仿宋_GB2312" w:hAnsi="仿宋_GB2312" w:eastAsia="仿宋_GB2312" w:cs="仿宋_GB2312"/>
          <w:spacing w:val="0"/>
          <w:kern w:val="0"/>
          <w:sz w:val="32"/>
          <w:szCs w:val="32"/>
          <w:lang w:val="en-US" w:eastAsia="zh-CN"/>
        </w:rPr>
        <w:t>车辆维修减少</w:t>
      </w:r>
      <w:r>
        <w:rPr>
          <w:rFonts w:ascii="仿宋_GB2312" w:hAnsi="仿宋_GB2312" w:eastAsia="仿宋_GB2312" w:cs="仿宋_GB2312"/>
          <w:spacing w:val="0"/>
          <w:kern w:val="0"/>
          <w:sz w:val="32"/>
          <w:szCs w:val="32"/>
        </w:rPr>
        <w:t>（简要说明预决算差异原因）</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97ED49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（一）因公出国（境）费支出0万元，完成全年预算的0%；较上年增加0万元，增长0%。全年安排本单位组织的出国团组0个，参加其他单位出国团组个；全年因公出国（境）累计0 人次。主要是与全年预算（或上年决算）持平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（简要说明差异原因、出国（境）团组目的、开支内容等）。</w:t>
      </w:r>
    </w:p>
    <w:p w14:paraId="62EA72D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（二）公务用车购置及运行费支出1.34万元，完成全年预算的100.00%；较上年</w:t>
      </w:r>
      <w:r>
        <w:rPr>
          <w:rFonts w:ascii="仿宋_GB2312" w:hAnsi="仿宋_GB2312" w:eastAsia="仿宋_GB2312" w:cs="仿宋_GB2312"/>
          <w:kern w:val="0"/>
          <w:sz w:val="32"/>
          <w:szCs w:val="32"/>
        </w:rPr>
        <w:t>减少0.55万元，下降29.04%。其中：</w:t>
      </w:r>
    </w:p>
    <w:p w14:paraId="2996AD7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公务用车购置费支出0万元，完成全年预算的0%；较上年增加0万元，增长0%。2024年公务用车购置0辆，主要是:</w:t>
      </w:r>
      <w:r>
        <w:rPr>
          <w:rFonts w:ascii="仿宋_GB2312" w:hAnsi="仿宋_GB2312" w:eastAsia="仿宋_GB2312" w:cs="仿宋_GB2312"/>
          <w:kern w:val="0"/>
          <w:sz w:val="32"/>
          <w:szCs w:val="32"/>
        </w:rPr>
        <w:t>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spacing w:val="0"/>
          <w:kern w:val="0"/>
          <w:sz w:val="32"/>
          <w:szCs w:val="32"/>
        </w:rPr>
        <w:t>（简要说明差异原因）。</w:t>
      </w:r>
    </w:p>
    <w:p w14:paraId="4DFE837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公务用车运行费支出1.34万元，完成全年预算的100.00%；较上年减少0.55万元，下降29.04%。主要是</w:t>
      </w:r>
      <w:r>
        <w:rPr>
          <w:rFonts w:hint="eastAsia" w:ascii="仿宋_GB2312" w:hAnsi="仿宋_GB2312" w:eastAsia="仿宋_GB2312" w:cs="仿宋_GB2312"/>
          <w:spacing w:val="0"/>
          <w:kern w:val="0"/>
          <w:sz w:val="32"/>
          <w:szCs w:val="32"/>
          <w:lang w:val="en-US" w:eastAsia="zh-CN"/>
        </w:rPr>
        <w:t>车辆维修减少</w:t>
      </w:r>
      <w:r>
        <w:rPr>
          <w:rFonts w:ascii="仿宋_GB2312" w:hAnsi="仿宋_GB2312" w:eastAsia="仿宋_GB2312" w:cs="仿宋_GB2312"/>
          <w:spacing w:val="0"/>
          <w:kern w:val="0"/>
          <w:sz w:val="32"/>
          <w:szCs w:val="32"/>
        </w:rPr>
        <w:t>。截至2024年12月31日，本单位公务用车保有量为1辆。</w:t>
      </w:r>
    </w:p>
    <w:p w14:paraId="157276BF">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kern w:val="0"/>
          <w:sz w:val="32"/>
          <w:szCs w:val="32"/>
        </w:rPr>
        <w:t>（三）公务接待费支出0万元，完成全年预算的 0%；较上年增加0万元，增长0%。主要是</w:t>
      </w:r>
      <w:r>
        <w:rPr>
          <w:rFonts w:ascii="仿宋_GB2312" w:hAnsi="仿宋_GB2312" w:eastAsia="仿宋_GB2312" w:cs="仿宋_GB2312"/>
          <w:spacing w:val="0"/>
          <w:kern w:val="0"/>
          <w:sz w:val="32"/>
          <w:szCs w:val="32"/>
        </w:rPr>
        <w:t>:</w:t>
      </w:r>
      <w:r>
        <w:rPr>
          <w:rFonts w:ascii="仿宋_GB2312" w:hAnsi="仿宋_GB2312" w:eastAsia="仿宋_GB2312" w:cs="仿宋_GB2312"/>
          <w:kern w:val="0"/>
          <w:sz w:val="32"/>
          <w:szCs w:val="32"/>
        </w:rPr>
        <w:t>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（简要说明差异原因）。累计接待0批次、0人次。</w:t>
      </w:r>
      <w:r>
        <w:rPr>
          <w:rFonts w:hint="eastAsia" w:ascii="仿宋_GB2312" w:hAnsi="仿宋_GB2312" w:eastAsia="仿宋_GB2312" w:cs="仿宋_GB2312"/>
          <w:kern w:val="0"/>
          <w:sz w:val="32"/>
          <w:szCs w:val="32"/>
          <w:lang w:val="en-US" w:eastAsia="zh-CN"/>
        </w:rPr>
        <w:t>主要是</w:t>
      </w:r>
      <w:r>
        <w:rPr>
          <w:rFonts w:ascii="仿宋_GB2312" w:hAnsi="仿宋_GB2312" w:eastAsia="仿宋_GB2312" w:cs="仿宋_GB2312"/>
          <w:spacing w:val="0"/>
          <w:kern w:val="0"/>
          <w:sz w:val="32"/>
          <w:szCs w:val="32"/>
        </w:rPr>
        <w:t>:</w:t>
      </w:r>
      <w:r>
        <w:rPr>
          <w:rFonts w:ascii="仿宋_GB2312" w:hAnsi="仿宋_GB2312" w:eastAsia="仿宋_GB2312" w:cs="仿宋_GB2312"/>
          <w:kern w:val="0"/>
          <w:sz w:val="32"/>
          <w:szCs w:val="32"/>
        </w:rPr>
        <w:t>与全年预算（或上年决算）持平</w:t>
      </w:r>
      <w:r>
        <w:rPr>
          <w:rFonts w:hint="eastAsia" w:ascii="仿宋_GB2312" w:hAnsi="仿宋_GB2312" w:eastAsia="仿宋_GB2312" w:cs="仿宋_GB2312"/>
          <w:kern w:val="0"/>
          <w:sz w:val="32"/>
          <w:szCs w:val="32"/>
          <w:lang w:eastAsia="zh-CN"/>
        </w:rPr>
        <w:t>。</w:t>
      </w:r>
    </w:p>
    <w:p w14:paraId="375574C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增减变动金额为0的，请标注“与全年预算（或上年决算）持平”；如决算金额不为0，预算金额（或上年决算）为0，可说明增加的金额及主要原因,不体现增长率；三公经费决算支出情况说明一个字都不能删掉，0的就填0；预决算原因两个都要写，如：决算数小于（大于）预算数主要原因是……，决算数较上年决算数减少（增加）主要原因是：……。</w:t>
      </w:r>
    </w:p>
    <w:p w14:paraId="0CCFCEA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21"/>
      <w:bookmarkStart w:id="128" w:name="_Toc256000046"/>
      <w:bookmarkStart w:id="129" w:name="_Toc256000096"/>
      <w:bookmarkStart w:id="130" w:name="_Toc256000021"/>
      <w:bookmarkStart w:id="131" w:name="_Toc256000071"/>
      <w:bookmarkStart w:id="132" w:name="_Toc256000146"/>
      <w:r>
        <w:rPr>
          <w:rFonts w:ascii="黑体" w:hAnsi="黑体" w:eastAsia="黑体" w:cs="黑体"/>
          <w:b w:val="0"/>
          <w:bCs w:val="0"/>
          <w:spacing w:val="0"/>
        </w:rPr>
        <w:t>八、预算绩效情况说明</w:t>
      </w:r>
      <w:bookmarkEnd w:id="127"/>
      <w:bookmarkEnd w:id="128"/>
      <w:bookmarkEnd w:id="129"/>
      <w:bookmarkEnd w:id="130"/>
      <w:bookmarkEnd w:id="131"/>
      <w:bookmarkEnd w:id="132"/>
    </w:p>
    <w:p w14:paraId="50066435">
      <w:pPr>
        <w:pStyle w:val="30"/>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lang w:eastAsia="zh-CN"/>
        </w:rPr>
      </w:pPr>
      <w:r>
        <w:rPr>
          <w:rFonts w:ascii="仿宋_GB2312" w:hAnsi="仿宋_GB2312" w:eastAsia="仿宋_GB2312" w:cs="仿宋_GB2312"/>
          <w:kern w:val="0"/>
          <w:sz w:val="32"/>
          <w:szCs w:val="32"/>
        </w:rPr>
        <w:t>该年度本单位无单位自评项目，无需公开空表</w:t>
      </w:r>
      <w:r>
        <w:rPr>
          <w:rFonts w:hint="eastAsia" w:ascii="仿宋_GB2312" w:hAnsi="仿宋_GB2312" w:eastAsia="仿宋_GB2312" w:cs="仿宋_GB2312"/>
          <w:kern w:val="0"/>
          <w:sz w:val="32"/>
          <w:szCs w:val="32"/>
          <w:lang w:eastAsia="zh-CN"/>
        </w:rPr>
        <w:t>。</w:t>
      </w:r>
    </w:p>
    <w:p w14:paraId="0F3E4B7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注：如该年度本单位无单位自评项目，无需公开空表，仅需简要说明情况。</w:t>
      </w:r>
    </w:p>
    <w:p w14:paraId="2281F318">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047"/>
      <w:bookmarkStart w:id="134" w:name="_Toc256000147"/>
      <w:bookmarkStart w:id="135" w:name="_Toc256000122"/>
      <w:bookmarkStart w:id="136" w:name="_Toc256000072"/>
      <w:bookmarkStart w:id="137" w:name="_Toc256000022"/>
      <w:bookmarkStart w:id="138" w:name="_Toc256000097"/>
      <w:r>
        <w:rPr>
          <w:rFonts w:ascii="黑体" w:hAnsi="黑体" w:eastAsia="黑体" w:cs="黑体"/>
          <w:b w:val="0"/>
          <w:bCs w:val="0"/>
          <w:spacing w:val="0"/>
        </w:rPr>
        <w:t>九、其他重要事项说明</w:t>
      </w:r>
      <w:bookmarkEnd w:id="133"/>
      <w:bookmarkEnd w:id="134"/>
      <w:bookmarkEnd w:id="135"/>
      <w:bookmarkEnd w:id="136"/>
      <w:bookmarkEnd w:id="137"/>
      <w:bookmarkEnd w:id="138"/>
    </w:p>
    <w:p w14:paraId="73729FD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46ED976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2024年度机关运行经费支出0万元，比上年决算数增加0万元，增长0%，主要原因是: </w:t>
      </w:r>
      <w:r>
        <w:rPr>
          <w:rFonts w:ascii="仿宋_GB2312" w:hAnsi="仿宋_GB2312" w:eastAsia="仿宋_GB2312" w:cs="仿宋_GB2312"/>
          <w:kern w:val="0"/>
          <w:sz w:val="32"/>
          <w:szCs w:val="32"/>
        </w:rPr>
        <w:t>本单位为事业单位没有机关运行经费</w:t>
      </w:r>
      <w:r>
        <w:rPr>
          <w:rFonts w:hint="eastAsia" w:ascii="仿宋_GB2312" w:hAnsi="仿宋_GB2312" w:eastAsia="仿宋_GB2312" w:cs="仿宋_GB2312"/>
          <w:kern w:val="0"/>
          <w:sz w:val="32"/>
          <w:szCs w:val="32"/>
          <w:lang w:eastAsia="zh-CN"/>
        </w:rPr>
        <w:t>。</w:t>
      </w:r>
    </w:p>
    <w:p w14:paraId="4931E60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 没有机关运行经费的单位，首句不能删掉，并说明“本单位为事业单位没有机关运行经费”。</w:t>
      </w:r>
    </w:p>
    <w:p w14:paraId="3DA57B81">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（二）政府采购情况</w:t>
      </w:r>
    </w:p>
    <w:p w14:paraId="47BD6FED">
      <w:pPr>
        <w:pStyle w:val="30"/>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lang w:eastAsia="zh-CN"/>
        </w:rPr>
      </w:pPr>
      <w:r>
        <w:rPr>
          <w:rFonts w:ascii="仿宋_GB2312" w:hAnsi="仿宋_GB2312" w:eastAsia="仿宋_GB2312" w:cs="仿宋_GB2312"/>
          <w:kern w:val="0"/>
          <w:sz w:val="32"/>
          <w:szCs w:val="32"/>
        </w:rPr>
        <w:t>本单位2024年度没有政府采购支出</w:t>
      </w:r>
      <w:r>
        <w:rPr>
          <w:rFonts w:hint="eastAsia" w:ascii="仿宋_GB2312" w:hAnsi="仿宋_GB2312" w:eastAsia="仿宋_GB2312" w:cs="仿宋_GB2312"/>
          <w:kern w:val="0"/>
          <w:sz w:val="32"/>
          <w:szCs w:val="32"/>
          <w:lang w:eastAsia="zh-CN"/>
        </w:rPr>
        <w:t>。</w:t>
      </w:r>
    </w:p>
    <w:p w14:paraId="264A94D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注：1.没有政府采购支出的单位请说明“本单位2024年度没有政府采购支出”。</w:t>
      </w:r>
    </w:p>
    <w:p w14:paraId="75094BA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   </w:t>
      </w:r>
      <w:r>
        <w:rPr>
          <w:rStyle w:val="31"/>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57866EF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截至2024年12月31日，本单位共有车辆1 辆，其中：副部（省）级以上领导用车0 辆、主要领导干部用车0 辆、机要通信用车0辆、应急保障用车0辆、执法执勤用车1辆、特种专业技术用车0辆、离退休干部用车0辆、其他用车0辆，单位价值100万元以上设备（不含车辆）0台（套）。  </w:t>
      </w:r>
    </w:p>
    <w:p w14:paraId="346D05ED">
      <w:pPr>
        <w:sectPr>
          <w:footerReference r:id="rId18" w:type="default"/>
          <w:pgSz w:w="11906" w:h="16838"/>
          <w:pgMar w:top="1440" w:right="720" w:bottom="1440" w:left="720" w:header="720" w:footer="720" w:gutter="0"/>
          <w:cols w:space="720" w:num="1"/>
        </w:sectPr>
      </w:pPr>
    </w:p>
    <w:p w14:paraId="25EA525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4CB3BDB">
      <w:pPr>
        <w:pStyle w:val="30"/>
        <w:widowControl/>
        <w:spacing w:before="100" w:after="100"/>
        <w:ind w:left="100" w:right="100" w:firstLine="640"/>
        <w:jc w:val="left"/>
        <w:rPr>
          <w:rFonts w:ascii="Times New Roman" w:hAnsi="Times New Roman" w:eastAsia="Times New Roman" w:cs="Times New Roman"/>
          <w:kern w:val="0"/>
          <w:sz w:val="24"/>
        </w:rPr>
      </w:pPr>
    </w:p>
    <w:p w14:paraId="1F0FBE8F">
      <w:pPr>
        <w:pStyle w:val="30"/>
        <w:widowControl/>
        <w:spacing w:before="100" w:after="100"/>
        <w:ind w:left="100" w:right="100" w:firstLine="640"/>
        <w:jc w:val="left"/>
        <w:rPr>
          <w:rFonts w:ascii="Times New Roman" w:hAnsi="Times New Roman" w:eastAsia="Times New Roman" w:cs="Times New Roman"/>
          <w:kern w:val="0"/>
          <w:sz w:val="24"/>
        </w:rPr>
      </w:pPr>
    </w:p>
    <w:p w14:paraId="2B2E7795">
      <w:pPr>
        <w:pStyle w:val="30"/>
        <w:widowControl/>
        <w:spacing w:before="100" w:after="100"/>
        <w:ind w:left="100" w:right="100" w:firstLine="640"/>
        <w:jc w:val="left"/>
        <w:rPr>
          <w:rFonts w:ascii="Times New Roman" w:hAnsi="Times New Roman" w:eastAsia="Times New Roman" w:cs="Times New Roman"/>
          <w:kern w:val="0"/>
          <w:sz w:val="24"/>
        </w:rPr>
      </w:pPr>
    </w:p>
    <w:p w14:paraId="1A0599B9">
      <w:pPr>
        <w:pStyle w:val="30"/>
        <w:widowControl/>
        <w:spacing w:before="100" w:after="100"/>
        <w:ind w:left="100" w:right="100" w:firstLine="640"/>
        <w:jc w:val="left"/>
        <w:rPr>
          <w:rFonts w:ascii="Times New Roman" w:hAnsi="Times New Roman" w:eastAsia="Times New Roman" w:cs="Times New Roman"/>
          <w:kern w:val="0"/>
          <w:sz w:val="24"/>
        </w:rPr>
      </w:pPr>
    </w:p>
    <w:p w14:paraId="0E9B3159">
      <w:pPr>
        <w:pStyle w:val="30"/>
        <w:widowControl/>
        <w:spacing w:before="100" w:after="100"/>
        <w:ind w:left="100" w:right="100" w:firstLine="640"/>
        <w:jc w:val="left"/>
        <w:rPr>
          <w:rFonts w:ascii="Times New Roman" w:hAnsi="Times New Roman" w:eastAsia="Times New Roman" w:cs="Times New Roman"/>
          <w:kern w:val="0"/>
          <w:sz w:val="24"/>
        </w:rPr>
      </w:pPr>
    </w:p>
    <w:p w14:paraId="568A2981">
      <w:pPr>
        <w:pStyle w:val="30"/>
        <w:widowControl/>
        <w:spacing w:before="100" w:after="100"/>
        <w:ind w:left="100" w:right="100" w:firstLine="640"/>
        <w:jc w:val="left"/>
        <w:rPr>
          <w:rFonts w:ascii="Times New Roman" w:hAnsi="Times New Roman" w:eastAsia="Times New Roman" w:cs="Times New Roman"/>
          <w:kern w:val="0"/>
          <w:sz w:val="24"/>
        </w:rPr>
      </w:pPr>
    </w:p>
    <w:p w14:paraId="2A5AF084">
      <w:pPr>
        <w:pStyle w:val="30"/>
        <w:widowControl/>
        <w:spacing w:before="100" w:after="100"/>
        <w:ind w:left="100" w:right="100" w:firstLine="640"/>
        <w:jc w:val="left"/>
        <w:rPr>
          <w:rFonts w:ascii="Times New Roman" w:hAnsi="Times New Roman" w:eastAsia="Times New Roman" w:cs="Times New Roman"/>
          <w:kern w:val="0"/>
          <w:sz w:val="24"/>
        </w:rPr>
      </w:pPr>
    </w:p>
    <w:p w14:paraId="71698C14">
      <w:pPr>
        <w:pStyle w:val="30"/>
        <w:widowControl/>
        <w:spacing w:before="100" w:after="100"/>
        <w:ind w:left="100" w:right="100" w:firstLine="640"/>
        <w:jc w:val="left"/>
        <w:rPr>
          <w:rFonts w:ascii="Times New Roman" w:hAnsi="Times New Roman" w:eastAsia="Times New Roman" w:cs="Times New Roman"/>
          <w:kern w:val="0"/>
          <w:sz w:val="24"/>
        </w:rPr>
      </w:pPr>
    </w:p>
    <w:p w14:paraId="744101D6">
      <w:pPr>
        <w:pStyle w:val="30"/>
        <w:widowControl/>
        <w:spacing w:before="100" w:after="100"/>
        <w:ind w:left="100" w:right="100" w:firstLine="640"/>
        <w:jc w:val="left"/>
        <w:rPr>
          <w:rFonts w:ascii="Times New Roman" w:hAnsi="Times New Roman" w:eastAsia="Times New Roman" w:cs="Times New Roman"/>
          <w:kern w:val="0"/>
          <w:sz w:val="24"/>
        </w:rPr>
      </w:pPr>
    </w:p>
    <w:p w14:paraId="0BAF3BCF">
      <w:pPr>
        <w:pStyle w:val="30"/>
        <w:widowControl/>
        <w:spacing w:before="100" w:after="100"/>
        <w:ind w:left="100" w:right="100" w:firstLine="640"/>
        <w:jc w:val="left"/>
        <w:rPr>
          <w:rFonts w:ascii="Times New Roman" w:hAnsi="Times New Roman" w:eastAsia="Times New Roman" w:cs="Times New Roman"/>
          <w:kern w:val="0"/>
          <w:sz w:val="24"/>
        </w:rPr>
      </w:pPr>
    </w:p>
    <w:p w14:paraId="58836434">
      <w:pPr>
        <w:pStyle w:val="30"/>
        <w:widowControl/>
        <w:spacing w:before="100" w:after="100"/>
        <w:ind w:left="100" w:right="100" w:firstLine="640"/>
        <w:jc w:val="left"/>
        <w:rPr>
          <w:rFonts w:ascii="Times New Roman" w:hAnsi="Times New Roman" w:eastAsia="Times New Roman" w:cs="Times New Roman"/>
          <w:kern w:val="0"/>
          <w:sz w:val="24"/>
        </w:rPr>
      </w:pPr>
    </w:p>
    <w:p w14:paraId="077ABDA5">
      <w:pPr>
        <w:pStyle w:val="30"/>
        <w:widowControl/>
        <w:spacing w:before="100" w:after="100"/>
        <w:ind w:left="100" w:right="100" w:firstLine="640"/>
        <w:jc w:val="left"/>
        <w:rPr>
          <w:rFonts w:ascii="Times New Roman" w:hAnsi="Times New Roman" w:eastAsia="Times New Roman" w:cs="Times New Roman"/>
          <w:kern w:val="0"/>
          <w:sz w:val="24"/>
        </w:rPr>
      </w:pPr>
    </w:p>
    <w:p w14:paraId="6E51625C">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39" w:name="_Toc256000048"/>
      <w:bookmarkStart w:id="140" w:name="_Toc256000023"/>
      <w:bookmarkStart w:id="141" w:name="_Toc256000098"/>
      <w:bookmarkStart w:id="142" w:name="_Toc256000148"/>
      <w:bookmarkStart w:id="143" w:name="_Toc256000073"/>
      <w:bookmarkStart w:id="144" w:name="_Toc256000123"/>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39"/>
      <w:bookmarkEnd w:id="140"/>
      <w:bookmarkEnd w:id="141"/>
      <w:bookmarkEnd w:id="142"/>
      <w:bookmarkEnd w:id="143"/>
      <w:bookmarkEnd w:id="144"/>
    </w:p>
    <w:p w14:paraId="430BD3D8">
      <w:pPr>
        <w:sectPr>
          <w:footerReference r:id="rId19" w:type="default"/>
          <w:pgSz w:w="11906" w:h="16838"/>
          <w:pgMar w:top="1440" w:right="720" w:bottom="1440" w:left="720" w:header="720" w:footer="720" w:gutter="0"/>
          <w:cols w:space="720" w:num="1"/>
        </w:sectPr>
      </w:pPr>
    </w:p>
    <w:p w14:paraId="3E87FA4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62ADBB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07CA69D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17E8E5F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6706525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37C0A9DD">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25FD75E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7BCE36B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163929B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69131B7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2A5E451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2C730B2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3952C5D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4D23A89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449CB18F">
      <w:pPr>
        <w:pStyle w:val="30"/>
        <w:widowControl/>
        <w:spacing w:before="240" w:after="240"/>
        <w:ind w:firstLine="643"/>
        <w:jc w:val="left"/>
        <w:rPr>
          <w:rFonts w:ascii="Times New Roman" w:hAnsi="Times New Roman" w:eastAsia="Times New Roman" w:cs="Times New Roman"/>
          <w:kern w:val="0"/>
          <w:sz w:val="24"/>
        </w:rPr>
      </w:pPr>
    </w:p>
    <w:p w14:paraId="3951F819">
      <w:pPr>
        <w:sectPr>
          <w:footerReference r:id="rId20" w:type="default"/>
          <w:pgSz w:w="11906" w:h="16838"/>
          <w:pgMar w:top="1440" w:right="720" w:bottom="1440" w:left="720" w:header="720" w:footer="720" w:gutter="0"/>
          <w:cols w:space="720" w:num="1"/>
        </w:sectPr>
      </w:pPr>
    </w:p>
    <w:p w14:paraId="7BC683C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3563F67">
      <w:pPr>
        <w:pStyle w:val="30"/>
        <w:widowControl/>
        <w:spacing w:before="240" w:after="240"/>
        <w:jc w:val="left"/>
        <w:rPr>
          <w:rFonts w:ascii="Times New Roman" w:hAnsi="Times New Roman" w:eastAsia="Times New Roman" w:cs="Times New Roman"/>
          <w:kern w:val="0"/>
          <w:sz w:val="24"/>
        </w:rPr>
      </w:pPr>
    </w:p>
    <w:p w14:paraId="134E15FF">
      <w:pPr>
        <w:pStyle w:val="30"/>
        <w:widowControl/>
        <w:spacing w:before="240" w:after="240"/>
        <w:jc w:val="left"/>
        <w:rPr>
          <w:rFonts w:ascii="Times New Roman" w:hAnsi="Times New Roman" w:eastAsia="Times New Roman" w:cs="Times New Roman"/>
          <w:kern w:val="0"/>
          <w:sz w:val="24"/>
        </w:rPr>
      </w:pPr>
    </w:p>
    <w:p w14:paraId="07A4B76E">
      <w:pPr>
        <w:pStyle w:val="30"/>
        <w:widowControl/>
        <w:spacing w:before="240" w:after="240"/>
        <w:jc w:val="left"/>
        <w:rPr>
          <w:rFonts w:ascii="Times New Roman" w:hAnsi="Times New Roman" w:eastAsia="Times New Roman" w:cs="Times New Roman"/>
          <w:kern w:val="0"/>
          <w:sz w:val="24"/>
        </w:rPr>
      </w:pPr>
    </w:p>
    <w:p w14:paraId="34DF9F34">
      <w:pPr>
        <w:pStyle w:val="30"/>
        <w:widowControl/>
        <w:spacing w:before="240" w:after="240"/>
        <w:jc w:val="left"/>
        <w:rPr>
          <w:rFonts w:ascii="Times New Roman" w:hAnsi="Times New Roman" w:eastAsia="Times New Roman" w:cs="Times New Roman"/>
          <w:kern w:val="0"/>
          <w:sz w:val="24"/>
        </w:rPr>
      </w:pPr>
    </w:p>
    <w:p w14:paraId="64BBFF92">
      <w:pPr>
        <w:pStyle w:val="30"/>
        <w:widowControl/>
        <w:spacing w:before="240" w:after="240"/>
        <w:jc w:val="left"/>
        <w:rPr>
          <w:rFonts w:ascii="Times New Roman" w:hAnsi="Times New Roman" w:eastAsia="Times New Roman" w:cs="Times New Roman"/>
          <w:kern w:val="0"/>
          <w:sz w:val="24"/>
        </w:rPr>
      </w:pPr>
    </w:p>
    <w:p w14:paraId="1BB9AFD2">
      <w:pPr>
        <w:pStyle w:val="30"/>
        <w:widowControl/>
        <w:spacing w:before="240" w:after="240"/>
        <w:jc w:val="left"/>
        <w:rPr>
          <w:rFonts w:ascii="Times New Roman" w:hAnsi="Times New Roman" w:eastAsia="Times New Roman" w:cs="Times New Roman"/>
          <w:kern w:val="0"/>
          <w:sz w:val="24"/>
        </w:rPr>
      </w:pPr>
    </w:p>
    <w:bookmarkEnd w:id="0"/>
    <w:p w14:paraId="4E302EF5">
      <w:pPr>
        <w:pStyle w:val="30"/>
        <w:widowControl/>
        <w:spacing w:before="240" w:after="240"/>
        <w:jc w:val="left"/>
        <w:rPr>
          <w:rFonts w:ascii="Times New Roman" w:hAnsi="Times New Roman" w:eastAsia="Times New Roman" w:cs="Times New Roman"/>
          <w:kern w:val="0"/>
          <w:sz w:val="24"/>
        </w:rPr>
      </w:pPr>
      <w:bookmarkStart w:id="145" w:name="_GoBack"/>
      <w:bookmarkEnd w:id="145"/>
    </w:p>
    <w:sectPr>
      <w:footerReference r:id="rId21"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707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1F3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E1F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591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F40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180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218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5CB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960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8B8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A6E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9A6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58D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4A4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211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E7E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B86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8FE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FE1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A792B91"/>
    <w:rsid w:val="27B54F5A"/>
    <w:rsid w:val="3CF120EC"/>
    <w:rsid w:val="66BC54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4"/>
    <w:qFormat/>
    <w:uiPriority w:val="0"/>
    <w:pPr>
      <w:keepNext/>
      <w:keepLines/>
      <w:spacing w:before="280" w:after="290" w:line="376" w:lineRule="auto"/>
      <w:outlineLvl w:val="3"/>
    </w:pPr>
    <w:rPr>
      <w:rFonts w:ascii="Cambria" w:hAnsi="Cambria" w:eastAsia="仿宋"/>
      <w:bCs/>
      <w:sz w:val="32"/>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Body Text"/>
    <w:basedOn w:val="1"/>
    <w:semiHidden/>
    <w:qFormat/>
    <w:uiPriority w:val="0"/>
    <w:rPr>
      <w:rFonts w:ascii="仿宋" w:hAnsi="仿宋" w:eastAsia="仿宋" w:cs="仿宋"/>
      <w:sz w:val="35"/>
      <w:szCs w:val="35"/>
      <w:lang w:val="en-US" w:eastAsia="en-US" w:bidi="ar-SA"/>
    </w:rPr>
  </w:style>
  <w:style w:type="paragraph" w:styleId="10">
    <w:name w:val="toc 5"/>
    <w:basedOn w:val="1"/>
    <w:next w:val="1"/>
    <w:autoRedefine/>
    <w:qFormat/>
    <w:uiPriority w:val="0"/>
    <w:pPr>
      <w:ind w:left="840"/>
      <w:jc w:val="left"/>
    </w:pPr>
    <w:rPr>
      <w:sz w:val="20"/>
      <w:szCs w:val="20"/>
    </w:rPr>
  </w:style>
  <w:style w:type="paragraph" w:styleId="11">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qFormat/>
    <w:uiPriority w:val="0"/>
    <w:rPr>
      <w:rFonts w:ascii="宋体" w:hAnsi="宋体" w:eastAsia="仿宋" w:cs="Times New Roman"/>
      <w:kern w:val="2"/>
      <w:sz w:val="32"/>
      <w:szCs w:val="32"/>
      <w:lang w:val="en-US" w:eastAsia="zh-CN" w:bidi="ar-SA"/>
    </w:rPr>
  </w:style>
  <w:style w:type="character" w:customStyle="1" w:styleId="24">
    <w:name w:val="标题 4 字符"/>
    <w:basedOn w:val="21"/>
    <w:link w:val="6"/>
    <w:qFormat/>
    <w:uiPriority w:val="0"/>
    <w:rPr>
      <w:rFonts w:ascii="Cambria" w:hAnsi="Cambria" w:eastAsia="仿宋"/>
      <w:bCs/>
      <w:kern w:val="2"/>
      <w:sz w:val="32"/>
      <w:szCs w:val="28"/>
    </w:rPr>
  </w:style>
  <w:style w:type="character" w:customStyle="1" w:styleId="25">
    <w:name w:val="无间隔 字符"/>
    <w:link w:val="4"/>
    <w:qFormat/>
    <w:locked/>
    <w:uiPriority w:val="0"/>
    <w:rPr>
      <w:rFonts w:eastAsia="仿宋_GB2312"/>
      <w:sz w:val="30"/>
      <w:szCs w:val="22"/>
      <w:lang w:bidi="ar-SA"/>
    </w:rPr>
  </w:style>
  <w:style w:type="character" w:customStyle="1" w:styleId="26">
    <w:name w:val="页脚 字符"/>
    <w:basedOn w:val="21"/>
    <w:link w:val="13"/>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1"/>
    <w:link w:val="5"/>
    <w:qFormat/>
    <w:uiPriority w:val="0"/>
    <w:rPr>
      <w:rFonts w:eastAsia="仿宋"/>
      <w:bCs/>
      <w:kern w:val="2"/>
      <w:sz w:val="32"/>
      <w:szCs w:val="32"/>
    </w:rPr>
  </w:style>
  <w:style w:type="paragraph" w:customStyle="1" w:styleId="29">
    <w:name w:val="p"/>
    <w:basedOn w:val="1"/>
    <w:uiPriority w:val="0"/>
  </w:style>
  <w:style w:type="paragraph" w:customStyle="1" w:styleId="30">
    <w:name w:val="MsoNormal"/>
    <w:basedOn w:val="1"/>
    <w:uiPriority w:val="0"/>
  </w:style>
  <w:style w:type="character" w:customStyle="1" w:styleId="31">
    <w:name w:val="15"/>
    <w:basedOn w:val="21"/>
    <w:qFormat/>
    <w:uiPriority w:val="0"/>
  </w:style>
  <w:style w:type="table" w:customStyle="1" w:styleId="32">
    <w:name w:val="MsoNormalTable mce-item-table"/>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3138</Words>
  <Characters>4696</Characters>
  <Lines>1</Lines>
  <Paragraphs>1</Paragraphs>
  <TotalTime>19</TotalTime>
  <ScaleCrop>false</ScaleCrop>
  <LinksUpToDate>false</LinksUpToDate>
  <CharactersWithSpaces>4937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虫二</cp:lastModifiedBy>
  <cp:lastPrinted>2021-04-16T00:45:00Z</cp:lastPrinted>
  <dcterms:modified xsi:type="dcterms:W3CDTF">2025-10-14T02:20:46Z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2052-12.1.0.22529</vt:lpwstr>
  </property>
  <property fmtid="{D5CDD505-2E9C-101B-9397-08002B2CF9AE}" pid="4" name="KSOTemplateDocerSaveRecord">
    <vt:lpwstr>eyJoZGlkIjoiZDc2MjI4OWVmZTZlYTU5OTJlMjZlZGJhMjdhZGM1ODEiLCJ1c2VySWQiOiIzNzIwNjE2NjUifQ==</vt:lpwstr>
  </property>
</Properties>
</file>