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仙游县古洋水库管理中心</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22CEE511">
          <w:pPr>
            <w:pStyle w:val="18"/>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"_Toc256000125" </w:instrText>
          </w:r>
          <w:r>
            <w:fldChar w:fldCharType="separate"/>
          </w:r>
          <w:r>
            <w:rPr>
              <w:rStyle w:val="23"/>
              <w:rFonts w:ascii="仿宋" w:hAnsi="仿宋" w:eastAsia="仿宋" w:cs="仿宋"/>
            </w:rPr>
            <w:t>第一部分</w:t>
          </w:r>
          <w:r>
            <w:rPr>
              <w:rStyle w:val="23"/>
              <w:rFonts w:ascii="黑体" w:hAnsi="黑体" w:eastAsia="黑体" w:cs="黑体"/>
            </w:rPr>
            <w:t xml:space="preserve"> </w:t>
          </w:r>
          <w:r>
            <w:rPr>
              <w:rStyle w:val="23"/>
              <w:rFonts w:ascii="仿宋" w:hAnsi="仿宋" w:eastAsia="仿宋" w:cs="仿宋"/>
            </w:rPr>
            <w:t>单位概况</w:t>
          </w:r>
          <w:r>
            <w:tab/>
          </w:r>
          <w:r>
            <w:fldChar w:fldCharType="begin"/>
          </w:r>
          <w:r>
            <w:instrText xml:space="preserve"> PAGEREF _Toc256000125 \h </w:instrText>
          </w:r>
          <w:r>
            <w:fldChar w:fldCharType="separate"/>
          </w:r>
          <w:r>
            <w:t>1</w:t>
          </w:r>
          <w:r>
            <w:fldChar w:fldCharType="end"/>
          </w:r>
          <w:r>
            <w:fldChar w:fldCharType="end"/>
          </w:r>
        </w:p>
        <w:p w14:paraId="17E5B25F">
          <w:pPr>
            <w:pStyle w:val="11"/>
            <w:tabs>
              <w:tab w:val="right" w:leader="dot" w:pos="9730"/>
            </w:tabs>
            <w:rPr>
              <w:rFonts w:asciiTheme="minorHAnsi" w:hAnsiTheme="minorHAnsi"/>
              <w:sz w:val="22"/>
            </w:rPr>
          </w:pPr>
          <w:r>
            <w:fldChar w:fldCharType="begin"/>
          </w:r>
          <w:r>
            <w:instrText xml:space="preserve"> HYPERLINK \l "_Toc256000126" </w:instrText>
          </w:r>
          <w:r>
            <w:fldChar w:fldCharType="separate"/>
          </w:r>
          <w:r>
            <w:rPr>
              <w:rStyle w:val="23"/>
              <w:rFonts w:ascii="仿宋" w:hAnsi="仿宋" w:eastAsia="仿宋" w:cs="仿宋"/>
            </w:rPr>
            <w:t>一、单位主要职责</w:t>
          </w:r>
          <w:r>
            <w:tab/>
          </w:r>
          <w:r>
            <w:fldChar w:fldCharType="begin"/>
          </w:r>
          <w:r>
            <w:instrText xml:space="preserve"> PAGEREF _Toc256000126 \h </w:instrText>
          </w:r>
          <w:r>
            <w:fldChar w:fldCharType="separate"/>
          </w:r>
          <w:r>
            <w:t>2</w:t>
          </w:r>
          <w:r>
            <w:fldChar w:fldCharType="end"/>
          </w:r>
          <w:r>
            <w:fldChar w:fldCharType="end"/>
          </w:r>
        </w:p>
        <w:p w14:paraId="2AD86EEF">
          <w:pPr>
            <w:pStyle w:val="11"/>
            <w:tabs>
              <w:tab w:val="right" w:leader="dot" w:pos="9730"/>
            </w:tabs>
            <w:rPr>
              <w:rFonts w:asciiTheme="minorHAnsi" w:hAnsiTheme="minorHAnsi"/>
              <w:sz w:val="22"/>
            </w:rPr>
          </w:pPr>
          <w:r>
            <w:fldChar w:fldCharType="begin"/>
          </w:r>
          <w:r>
            <w:instrText xml:space="preserve"> HYPERLINK \l "_Toc256000127" </w:instrText>
          </w:r>
          <w:r>
            <w:fldChar w:fldCharType="separate"/>
          </w:r>
          <w:r>
            <w:rPr>
              <w:rStyle w:val="23"/>
              <w:rFonts w:ascii="仿宋" w:hAnsi="仿宋" w:eastAsia="仿宋" w:cs="仿宋"/>
            </w:rPr>
            <w:t>二、单位基本情况</w:t>
          </w:r>
          <w:r>
            <w:tab/>
          </w:r>
          <w:r>
            <w:fldChar w:fldCharType="begin"/>
          </w:r>
          <w:r>
            <w:instrText xml:space="preserve"> PAGEREF _Toc256000127 \h </w:instrText>
          </w:r>
          <w:r>
            <w:fldChar w:fldCharType="separate"/>
          </w:r>
          <w:r>
            <w:t>2</w:t>
          </w:r>
          <w:r>
            <w:fldChar w:fldCharType="end"/>
          </w:r>
          <w:r>
            <w:fldChar w:fldCharType="end"/>
          </w:r>
        </w:p>
        <w:p w14:paraId="235B320A">
          <w:pPr>
            <w:pStyle w:val="11"/>
            <w:tabs>
              <w:tab w:val="right" w:leader="dot" w:pos="9730"/>
            </w:tabs>
            <w:rPr>
              <w:rFonts w:asciiTheme="minorHAnsi" w:hAnsiTheme="minorHAnsi"/>
              <w:sz w:val="22"/>
            </w:rPr>
          </w:pPr>
          <w:r>
            <w:fldChar w:fldCharType="begin"/>
          </w:r>
          <w:r>
            <w:instrText xml:space="preserve"> HYPERLINK \l "_Toc256000128" </w:instrText>
          </w:r>
          <w:r>
            <w:fldChar w:fldCharType="separate"/>
          </w:r>
          <w:r>
            <w:rPr>
              <w:rStyle w:val="23"/>
              <w:rFonts w:ascii="仿宋" w:hAnsi="仿宋" w:eastAsia="仿宋" w:cs="仿宋"/>
            </w:rPr>
            <w:t>三、单位主要工作总结</w:t>
          </w:r>
          <w:r>
            <w:tab/>
          </w:r>
          <w:r>
            <w:fldChar w:fldCharType="begin"/>
          </w:r>
          <w:r>
            <w:instrText xml:space="preserve"> PAGEREF _Toc256000128 \h </w:instrText>
          </w:r>
          <w:r>
            <w:fldChar w:fldCharType="separate"/>
          </w:r>
          <w:r>
            <w:t>2</w:t>
          </w:r>
          <w:r>
            <w:fldChar w:fldCharType="end"/>
          </w:r>
          <w:r>
            <w:fldChar w:fldCharType="end"/>
          </w:r>
        </w:p>
        <w:p w14:paraId="003E62CA">
          <w:pPr>
            <w:pStyle w:val="18"/>
            <w:tabs>
              <w:tab w:val="right" w:leader="dot" w:pos="9730"/>
            </w:tabs>
            <w:rPr>
              <w:rFonts w:asciiTheme="minorHAnsi" w:hAnsiTheme="minorHAnsi"/>
              <w:sz w:val="22"/>
            </w:rPr>
          </w:pPr>
          <w:r>
            <w:fldChar w:fldCharType="begin"/>
          </w:r>
          <w:r>
            <w:instrText xml:space="preserve"> HYPERLINK \l "_Toc256000129" </w:instrText>
          </w:r>
          <w:r>
            <w:fldChar w:fldCharType="separate"/>
          </w:r>
          <w:r>
            <w:rPr>
              <w:rStyle w:val="23"/>
              <w:rFonts w:ascii="仿宋" w:hAnsi="仿宋" w:eastAsia="仿宋" w:cs="仿宋"/>
            </w:rPr>
            <w:t>第二部分</w:t>
          </w:r>
          <w:r>
            <w:rPr>
              <w:rStyle w:val="23"/>
              <w:rFonts w:ascii="黑体" w:hAnsi="黑体" w:eastAsia="黑体" w:cs="黑体"/>
            </w:rPr>
            <w:t xml:space="preserve"> </w:t>
          </w:r>
          <w:r>
            <w:rPr>
              <w:rStyle w:val="23"/>
              <w:rFonts w:ascii="仿宋" w:hAnsi="仿宋" w:eastAsia="仿宋" w:cs="仿宋"/>
            </w:rPr>
            <w:t>2024年度单位决算表</w:t>
          </w:r>
          <w:r>
            <w:tab/>
          </w:r>
          <w:r>
            <w:fldChar w:fldCharType="begin"/>
          </w:r>
          <w:r>
            <w:instrText xml:space="preserve"> PAGEREF _Toc256000129 \h </w:instrText>
          </w:r>
          <w:r>
            <w:fldChar w:fldCharType="separate"/>
          </w:r>
          <w:r>
            <w:t>4</w:t>
          </w:r>
          <w:r>
            <w:fldChar w:fldCharType="end"/>
          </w:r>
          <w:r>
            <w:fldChar w:fldCharType="end"/>
          </w:r>
        </w:p>
        <w:p w14:paraId="575D132E">
          <w:pPr>
            <w:pStyle w:val="11"/>
            <w:tabs>
              <w:tab w:val="right" w:leader="dot" w:pos="9730"/>
            </w:tabs>
            <w:rPr>
              <w:rFonts w:asciiTheme="minorHAnsi" w:hAnsiTheme="minorHAnsi"/>
              <w:sz w:val="22"/>
            </w:rPr>
          </w:pPr>
          <w:r>
            <w:fldChar w:fldCharType="begin"/>
          </w:r>
          <w:r>
            <w:instrText xml:space="preserve"> HYPERLINK \l "_Toc256000130" </w:instrText>
          </w:r>
          <w:r>
            <w:fldChar w:fldCharType="separate"/>
          </w:r>
          <w:r>
            <w:rPr>
              <w:rStyle w:val="23"/>
              <w:rFonts w:ascii="仿宋" w:hAnsi="仿宋" w:eastAsia="仿宋" w:cs="仿宋"/>
            </w:rPr>
            <w:t>一、收入支出决算总表</w:t>
          </w:r>
          <w:r>
            <w:tab/>
          </w:r>
          <w:r>
            <w:fldChar w:fldCharType="begin"/>
          </w:r>
          <w:r>
            <w:instrText xml:space="preserve"> PAGEREF _Toc256000130 \h </w:instrText>
          </w:r>
          <w:r>
            <w:fldChar w:fldCharType="separate"/>
          </w:r>
          <w:r>
            <w:t>5</w:t>
          </w:r>
          <w:r>
            <w:fldChar w:fldCharType="end"/>
          </w:r>
          <w:r>
            <w:fldChar w:fldCharType="end"/>
          </w:r>
        </w:p>
        <w:p w14:paraId="493FC22E">
          <w:pPr>
            <w:pStyle w:val="11"/>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3"/>
              <w:rFonts w:ascii="仿宋" w:hAnsi="仿宋" w:eastAsia="仿宋" w:cs="仿宋"/>
            </w:rPr>
            <w:t>二、收入决算表</w:t>
          </w:r>
          <w:r>
            <w:tab/>
          </w:r>
          <w:r>
            <w:fldChar w:fldCharType="begin"/>
          </w:r>
          <w:r>
            <w:instrText xml:space="preserve"> PAGEREF _Toc256000131 \h </w:instrText>
          </w:r>
          <w:r>
            <w:fldChar w:fldCharType="separate"/>
          </w:r>
          <w:r>
            <w:t>7</w:t>
          </w:r>
          <w:r>
            <w:fldChar w:fldCharType="end"/>
          </w:r>
          <w:r>
            <w:fldChar w:fldCharType="end"/>
          </w:r>
        </w:p>
        <w:p w14:paraId="174014E8">
          <w:pPr>
            <w:pStyle w:val="11"/>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3"/>
              <w:rFonts w:ascii="仿宋" w:hAnsi="仿宋" w:eastAsia="仿宋" w:cs="仿宋"/>
            </w:rPr>
            <w:t>三、支出决算表</w:t>
          </w:r>
          <w:r>
            <w:tab/>
          </w:r>
          <w:r>
            <w:fldChar w:fldCharType="begin"/>
          </w:r>
          <w:r>
            <w:instrText xml:space="preserve"> PAGEREF _Toc256000132 \h </w:instrText>
          </w:r>
          <w:r>
            <w:fldChar w:fldCharType="separate"/>
          </w:r>
          <w:r>
            <w:t>8</w:t>
          </w:r>
          <w:r>
            <w:fldChar w:fldCharType="end"/>
          </w:r>
          <w:r>
            <w:fldChar w:fldCharType="end"/>
          </w:r>
        </w:p>
        <w:p w14:paraId="4E46D045">
          <w:pPr>
            <w:pStyle w:val="11"/>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3"/>
              <w:rFonts w:ascii="仿宋" w:hAnsi="仿宋" w:eastAsia="仿宋" w:cs="仿宋"/>
            </w:rPr>
            <w:t>四、财政拨款收入支出决算总表</w:t>
          </w:r>
          <w:r>
            <w:tab/>
          </w:r>
          <w:r>
            <w:fldChar w:fldCharType="begin"/>
          </w:r>
          <w:r>
            <w:instrText xml:space="preserve"> PAGEREF _Toc256000133 \h </w:instrText>
          </w:r>
          <w:r>
            <w:fldChar w:fldCharType="separate"/>
          </w:r>
          <w:r>
            <w:t>9</w:t>
          </w:r>
          <w:r>
            <w:fldChar w:fldCharType="end"/>
          </w:r>
          <w:r>
            <w:fldChar w:fldCharType="end"/>
          </w:r>
        </w:p>
        <w:p w14:paraId="613B7183">
          <w:pPr>
            <w:pStyle w:val="11"/>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3"/>
              <w:rFonts w:ascii="仿宋" w:hAnsi="仿宋" w:eastAsia="仿宋" w:cs="仿宋"/>
            </w:rPr>
            <w:t>五、一般公共预算财政拨款支出决算表</w:t>
          </w:r>
          <w:r>
            <w:tab/>
          </w:r>
          <w:r>
            <w:fldChar w:fldCharType="begin"/>
          </w:r>
          <w:r>
            <w:instrText xml:space="preserve"> PAGEREF _Toc256000134 \h </w:instrText>
          </w:r>
          <w:r>
            <w:fldChar w:fldCharType="separate"/>
          </w:r>
          <w:r>
            <w:t>11</w:t>
          </w:r>
          <w:r>
            <w:fldChar w:fldCharType="end"/>
          </w:r>
          <w:r>
            <w:fldChar w:fldCharType="end"/>
          </w:r>
        </w:p>
        <w:p w14:paraId="65570E50">
          <w:pPr>
            <w:pStyle w:val="11"/>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3"/>
              <w:rFonts w:ascii="仿宋" w:hAnsi="仿宋" w:eastAsia="仿宋" w:cs="仿宋"/>
            </w:rPr>
            <w:t>六、一般公共预算财政拨款基本支出决算表</w:t>
          </w:r>
          <w:r>
            <w:tab/>
          </w:r>
          <w:r>
            <w:fldChar w:fldCharType="begin"/>
          </w:r>
          <w:r>
            <w:instrText xml:space="preserve"> PAGEREF _Toc256000135 \h </w:instrText>
          </w:r>
          <w:r>
            <w:fldChar w:fldCharType="separate"/>
          </w:r>
          <w:r>
            <w:t>12</w:t>
          </w:r>
          <w:r>
            <w:fldChar w:fldCharType="end"/>
          </w:r>
          <w:r>
            <w:fldChar w:fldCharType="end"/>
          </w:r>
        </w:p>
        <w:p w14:paraId="4D4F95B6">
          <w:pPr>
            <w:pStyle w:val="11"/>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3"/>
              <w:rFonts w:ascii="仿宋" w:hAnsi="仿宋" w:eastAsia="仿宋" w:cs="仿宋"/>
            </w:rPr>
            <w:t>七、一般公共预算财政拨款“三公”经费支出决算表</w:t>
          </w:r>
          <w:r>
            <w:tab/>
          </w:r>
          <w:r>
            <w:fldChar w:fldCharType="begin"/>
          </w:r>
          <w:r>
            <w:instrText xml:space="preserve"> PAGEREF _Toc256000136 \h </w:instrText>
          </w:r>
          <w:r>
            <w:fldChar w:fldCharType="separate"/>
          </w:r>
          <w:r>
            <w:t>15</w:t>
          </w:r>
          <w:r>
            <w:fldChar w:fldCharType="end"/>
          </w:r>
          <w:r>
            <w:fldChar w:fldCharType="end"/>
          </w:r>
        </w:p>
        <w:p w14:paraId="0FBEAB86">
          <w:pPr>
            <w:pStyle w:val="11"/>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3"/>
              <w:rFonts w:ascii="仿宋" w:hAnsi="仿宋" w:eastAsia="仿宋" w:cs="仿宋"/>
            </w:rPr>
            <w:t>八、政府性基金预算财政拨款收入支出决算表</w:t>
          </w:r>
          <w:r>
            <w:tab/>
          </w:r>
          <w:r>
            <w:fldChar w:fldCharType="begin"/>
          </w:r>
          <w:r>
            <w:instrText xml:space="preserve"> PAGEREF _Toc256000137 \h </w:instrText>
          </w:r>
          <w:r>
            <w:fldChar w:fldCharType="separate"/>
          </w:r>
          <w:r>
            <w:t>16</w:t>
          </w:r>
          <w:r>
            <w:fldChar w:fldCharType="end"/>
          </w:r>
          <w:r>
            <w:fldChar w:fldCharType="end"/>
          </w:r>
        </w:p>
        <w:p w14:paraId="457203C4">
          <w:pPr>
            <w:pStyle w:val="18"/>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3"/>
              <w:rFonts w:ascii="仿宋" w:hAnsi="仿宋" w:eastAsia="仿宋" w:cs="仿宋"/>
            </w:rPr>
            <w:t>第三部分</w:t>
          </w:r>
          <w:r>
            <w:rPr>
              <w:rStyle w:val="23"/>
              <w:rFonts w:ascii="黑体" w:hAnsi="黑体" w:eastAsia="黑体" w:cs="黑体"/>
            </w:rPr>
            <w:t xml:space="preserve"> </w:t>
          </w:r>
          <w:r>
            <w:rPr>
              <w:rStyle w:val="23"/>
              <w:rFonts w:ascii="仿宋" w:hAnsi="仿宋" w:eastAsia="仿宋" w:cs="仿宋"/>
            </w:rPr>
            <w:t>2024年度单位决算情况说明</w:t>
          </w:r>
          <w:r>
            <w:tab/>
          </w:r>
          <w:r>
            <w:fldChar w:fldCharType="begin"/>
          </w:r>
          <w:r>
            <w:instrText xml:space="preserve"> PAGEREF _Toc256000138 \h </w:instrText>
          </w:r>
          <w:r>
            <w:fldChar w:fldCharType="separate"/>
          </w:r>
          <w:r>
            <w:t>18</w:t>
          </w:r>
          <w:r>
            <w:fldChar w:fldCharType="end"/>
          </w:r>
          <w:r>
            <w:fldChar w:fldCharType="end"/>
          </w:r>
        </w:p>
        <w:p w14:paraId="05DAC0F9">
          <w:pPr>
            <w:pStyle w:val="11"/>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3"/>
              <w:rFonts w:ascii="仿宋" w:hAnsi="仿宋" w:eastAsia="仿宋" w:cs="仿宋"/>
            </w:rPr>
            <w:t>一、收入支出决算总体情况说明</w:t>
          </w:r>
          <w:r>
            <w:tab/>
          </w:r>
          <w:r>
            <w:fldChar w:fldCharType="begin"/>
          </w:r>
          <w:r>
            <w:instrText xml:space="preserve"> PAGEREF _Toc256000139 \h </w:instrText>
          </w:r>
          <w:r>
            <w:fldChar w:fldCharType="separate"/>
          </w:r>
          <w:r>
            <w:t>19</w:t>
          </w:r>
          <w:r>
            <w:fldChar w:fldCharType="end"/>
          </w:r>
          <w:r>
            <w:fldChar w:fldCharType="end"/>
          </w:r>
        </w:p>
        <w:p w14:paraId="681F10E4">
          <w:pPr>
            <w:pStyle w:val="11"/>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3"/>
              <w:rFonts w:ascii="仿宋" w:hAnsi="仿宋" w:eastAsia="仿宋" w:cs="仿宋"/>
            </w:rPr>
            <w:t>二、财政拨款收入支出决算总体情况说明</w:t>
          </w:r>
          <w:r>
            <w:tab/>
          </w:r>
          <w:r>
            <w:fldChar w:fldCharType="begin"/>
          </w:r>
          <w:r>
            <w:instrText xml:space="preserve"> PAGEREF _Toc256000140 \h </w:instrText>
          </w:r>
          <w:r>
            <w:fldChar w:fldCharType="separate"/>
          </w:r>
          <w:r>
            <w:t>20</w:t>
          </w:r>
          <w:r>
            <w:fldChar w:fldCharType="end"/>
          </w:r>
          <w:r>
            <w:fldChar w:fldCharType="end"/>
          </w:r>
        </w:p>
        <w:p w14:paraId="2D2B59EA">
          <w:pPr>
            <w:pStyle w:val="11"/>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3"/>
              <w:rFonts w:ascii="仿宋" w:hAnsi="仿宋" w:eastAsia="仿宋" w:cs="仿宋"/>
            </w:rPr>
            <w:t>三、一般公共预算财政拨款支出决算情况说明</w:t>
          </w:r>
          <w:r>
            <w:tab/>
          </w:r>
          <w:r>
            <w:fldChar w:fldCharType="begin"/>
          </w:r>
          <w:r>
            <w:instrText xml:space="preserve"> PAGEREF _Toc256000141 \h </w:instrText>
          </w:r>
          <w:r>
            <w:fldChar w:fldCharType="separate"/>
          </w:r>
          <w:r>
            <w:t>20</w:t>
          </w:r>
          <w:r>
            <w:fldChar w:fldCharType="end"/>
          </w:r>
          <w:r>
            <w:fldChar w:fldCharType="end"/>
          </w:r>
        </w:p>
        <w:p w14:paraId="2BE666EB">
          <w:pPr>
            <w:pStyle w:val="11"/>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3"/>
              <w:rFonts w:ascii="仿宋" w:hAnsi="仿宋" w:eastAsia="仿宋" w:cs="仿宋"/>
            </w:rPr>
            <w:t>四、政府性基金预算财政拨款支出决算情况说明</w:t>
          </w:r>
          <w:r>
            <w:tab/>
          </w:r>
          <w:r>
            <w:fldChar w:fldCharType="begin"/>
          </w:r>
          <w:r>
            <w:instrText xml:space="preserve"> PAGEREF _Toc256000142 \h </w:instrText>
          </w:r>
          <w:r>
            <w:fldChar w:fldCharType="separate"/>
          </w:r>
          <w:r>
            <w:t>20</w:t>
          </w:r>
          <w:r>
            <w:fldChar w:fldCharType="end"/>
          </w:r>
          <w:r>
            <w:fldChar w:fldCharType="end"/>
          </w:r>
        </w:p>
        <w:p w14:paraId="0E749377">
          <w:pPr>
            <w:pStyle w:val="11"/>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3"/>
              <w:rFonts w:ascii="仿宋" w:hAnsi="仿宋" w:eastAsia="仿宋" w:cs="仿宋"/>
            </w:rPr>
            <w:t>五、国有资本经营预算财政拨款支出决算情况说明</w:t>
          </w:r>
          <w:r>
            <w:tab/>
          </w:r>
          <w:r>
            <w:fldChar w:fldCharType="begin"/>
          </w:r>
          <w:r>
            <w:instrText xml:space="preserve"> PAGEREF _Toc256000143 \h </w:instrText>
          </w:r>
          <w:r>
            <w:fldChar w:fldCharType="separate"/>
          </w:r>
          <w:r>
            <w:t>20</w:t>
          </w:r>
          <w:r>
            <w:fldChar w:fldCharType="end"/>
          </w:r>
          <w:r>
            <w:fldChar w:fldCharType="end"/>
          </w:r>
        </w:p>
        <w:p w14:paraId="62671323">
          <w:pPr>
            <w:pStyle w:val="11"/>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3"/>
              <w:rFonts w:ascii="仿宋" w:hAnsi="仿宋" w:eastAsia="仿宋" w:cs="仿宋"/>
            </w:rPr>
            <w:t>六、一般公共预算财政拨款基本支出决算情况说明</w:t>
          </w:r>
          <w:r>
            <w:tab/>
          </w:r>
          <w:r>
            <w:fldChar w:fldCharType="begin"/>
          </w:r>
          <w:r>
            <w:instrText xml:space="preserve"> PAGEREF _Toc256000144 \h </w:instrText>
          </w:r>
          <w:r>
            <w:fldChar w:fldCharType="separate"/>
          </w:r>
          <w:r>
            <w:t>20</w:t>
          </w:r>
          <w:r>
            <w:fldChar w:fldCharType="end"/>
          </w:r>
          <w:r>
            <w:fldChar w:fldCharType="end"/>
          </w:r>
        </w:p>
        <w:p w14:paraId="6D58BD52">
          <w:pPr>
            <w:pStyle w:val="11"/>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3"/>
              <w:rFonts w:ascii="仿宋" w:hAnsi="仿宋" w:eastAsia="仿宋" w:cs="仿宋"/>
            </w:rPr>
            <w:t>七、一般公共预算拨款“三公”经费支出决算情况说明</w:t>
          </w:r>
          <w:r>
            <w:tab/>
          </w:r>
          <w:r>
            <w:fldChar w:fldCharType="begin"/>
          </w:r>
          <w:r>
            <w:instrText xml:space="preserve"> PAGEREF _Toc256000145 \h </w:instrText>
          </w:r>
          <w:r>
            <w:fldChar w:fldCharType="separate"/>
          </w:r>
          <w:r>
            <w:t>21</w:t>
          </w:r>
          <w:r>
            <w:fldChar w:fldCharType="end"/>
          </w:r>
          <w:r>
            <w:fldChar w:fldCharType="end"/>
          </w:r>
        </w:p>
        <w:p w14:paraId="3BED0237">
          <w:pPr>
            <w:pStyle w:val="11"/>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3"/>
              <w:rFonts w:ascii="仿宋" w:hAnsi="仿宋" w:eastAsia="仿宋" w:cs="仿宋"/>
            </w:rPr>
            <w:t>八、预算绩效情况说明</w:t>
          </w:r>
          <w:r>
            <w:tab/>
          </w:r>
          <w:r>
            <w:fldChar w:fldCharType="begin"/>
          </w:r>
          <w:r>
            <w:instrText xml:space="preserve"> PAGEREF _Toc256000146 \h </w:instrText>
          </w:r>
          <w:r>
            <w:fldChar w:fldCharType="separate"/>
          </w:r>
          <w:r>
            <w:t>22</w:t>
          </w:r>
          <w:r>
            <w:fldChar w:fldCharType="end"/>
          </w:r>
          <w:r>
            <w:fldChar w:fldCharType="end"/>
          </w:r>
        </w:p>
        <w:p w14:paraId="3ABBB33B">
          <w:pPr>
            <w:pStyle w:val="11"/>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3"/>
              <w:rFonts w:ascii="仿宋" w:hAnsi="仿宋" w:eastAsia="仿宋" w:cs="仿宋"/>
            </w:rPr>
            <w:t>九、其他重要事项说明</w:t>
          </w:r>
          <w:r>
            <w:tab/>
          </w:r>
          <w:r>
            <w:fldChar w:fldCharType="begin"/>
          </w:r>
          <w:r>
            <w:instrText xml:space="preserve"> PAGEREF _Toc256000147 \h </w:instrText>
          </w:r>
          <w:r>
            <w:fldChar w:fldCharType="separate"/>
          </w:r>
          <w:r>
            <w:t>22</w:t>
          </w:r>
          <w:r>
            <w:fldChar w:fldCharType="end"/>
          </w:r>
          <w:r>
            <w:fldChar w:fldCharType="end"/>
          </w:r>
        </w:p>
        <w:p w14:paraId="3B33F537">
          <w:pPr>
            <w:pStyle w:val="18"/>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3"/>
              <w:rFonts w:ascii="仿宋" w:hAnsi="仿宋" w:eastAsia="仿宋" w:cs="仿宋"/>
            </w:rPr>
            <w:t>第四部分</w:t>
          </w:r>
          <w:r>
            <w:rPr>
              <w:rStyle w:val="23"/>
              <w:rFonts w:ascii="黑体" w:hAnsi="黑体" w:eastAsia="黑体" w:cs="黑体"/>
            </w:rPr>
            <w:t xml:space="preserve"> </w:t>
          </w:r>
          <w:r>
            <w:rPr>
              <w:rStyle w:val="23"/>
              <w:rFonts w:ascii="仿宋" w:hAnsi="仿宋" w:eastAsia="仿宋" w:cs="仿宋"/>
            </w:rPr>
            <w:t>名词解释</w:t>
          </w:r>
          <w:r>
            <w:tab/>
          </w:r>
          <w:r>
            <w:fldChar w:fldCharType="begin"/>
          </w:r>
          <w:r>
            <w:instrText xml:space="preserve"> PAGEREF _Toc256000148 \h </w:instrText>
          </w:r>
          <w:r>
            <w:fldChar w:fldCharType="separate"/>
          </w:r>
          <w:r>
            <w:t>23</w:t>
          </w:r>
          <w:r>
            <w:fldChar w:fldCharType="end"/>
          </w:r>
          <w:r>
            <w:fldChar w:fldCharType="end"/>
          </w:r>
        </w:p>
        <w:p w14:paraId="27894EDF">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bookmarkStart w:id="145" w:name="_GoBack"/>
          <w:bookmarkEnd w:id="145"/>
        </w:p>
      </w:sdtContent>
    </w:sdt>
    <w:p w14:paraId="70202DA5">
      <w:pPr>
        <w:widowControl/>
        <w:spacing w:after="240"/>
        <w:jc w:val="left"/>
        <w:rPr>
          <w:rFonts w:ascii="Times New Roman" w:hAnsi="Times New Roman" w:eastAsia="Times New Roman" w:cs="Times New Roman"/>
          <w:kern w:val="0"/>
          <w:sz w:val="24"/>
        </w:rPr>
      </w:pPr>
      <w:bookmarkStart w:id="0" w:name="a000"/>
    </w:p>
    <w:p w14:paraId="67D332AD">
      <w:pPr>
        <w:widowControl/>
        <w:spacing w:before="240" w:after="240"/>
        <w:jc w:val="left"/>
        <w:rPr>
          <w:rFonts w:ascii="Times New Roman" w:hAnsi="Times New Roman" w:eastAsia="Times New Roman" w:cs="Times New Roman"/>
          <w:kern w:val="0"/>
          <w:sz w:val="24"/>
        </w:rPr>
      </w:pPr>
    </w:p>
    <w:p w14:paraId="69419D06">
      <w:pPr>
        <w:widowControl/>
        <w:spacing w:before="240" w:after="240"/>
        <w:jc w:val="left"/>
        <w:rPr>
          <w:rFonts w:ascii="Times New Roman" w:hAnsi="Times New Roman" w:eastAsia="Times New Roman" w:cs="Times New Roman"/>
          <w:kern w:val="0"/>
          <w:sz w:val="24"/>
        </w:rPr>
      </w:pPr>
    </w:p>
    <w:p w14:paraId="278FAAC5">
      <w:pPr>
        <w:widowControl/>
        <w:spacing w:before="240" w:after="240"/>
        <w:jc w:val="left"/>
        <w:rPr>
          <w:rFonts w:ascii="Times New Roman" w:hAnsi="Times New Roman" w:eastAsia="Times New Roman" w:cs="Times New Roman"/>
          <w:kern w:val="0"/>
          <w:sz w:val="24"/>
        </w:rPr>
      </w:pPr>
    </w:p>
    <w:p w14:paraId="57F9AB47">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75"/>
      <w:bookmarkStart w:id="2" w:name="_Toc256000000"/>
      <w:bookmarkStart w:id="3" w:name="_Toc256000050"/>
      <w:bookmarkStart w:id="4" w:name="_Toc256000125"/>
      <w:bookmarkStart w:id="5" w:name="_Toc256000025"/>
      <w:bookmarkStart w:id="6" w:name="_Toc256000100"/>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148870EB">
      <w:pPr>
        <w:sectPr>
          <w:footerReference r:id="rId5" w:type="default"/>
          <w:pgSz w:w="11906" w:h="16838"/>
          <w:pgMar w:top="1440" w:right="720" w:bottom="1440" w:left="720" w:header="720" w:footer="720" w:gutter="0"/>
          <w:pgNumType w:start="1"/>
          <w:cols w:space="720" w:num="1"/>
        </w:sectPr>
      </w:pPr>
    </w:p>
    <w:p w14:paraId="48DAB2F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95FBD19">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01"/>
      <w:bookmarkStart w:id="8" w:name="_Toc256000051"/>
      <w:bookmarkStart w:id="9" w:name="_Toc256000126"/>
      <w:bookmarkStart w:id="10" w:name="_Toc256000101"/>
      <w:bookmarkStart w:id="11" w:name="_Toc256000076"/>
      <w:bookmarkStart w:id="12" w:name="_Toc256000026"/>
      <w:r>
        <w:rPr>
          <w:rFonts w:ascii="黑体" w:hAnsi="黑体" w:eastAsia="黑体" w:cs="黑体"/>
          <w:b w:val="0"/>
          <w:bCs w:val="0"/>
          <w:spacing w:val="0"/>
        </w:rPr>
        <w:t>一、单位主要职责</w:t>
      </w:r>
      <w:bookmarkEnd w:id="7"/>
      <w:bookmarkEnd w:id="8"/>
      <w:bookmarkEnd w:id="9"/>
      <w:bookmarkEnd w:id="10"/>
      <w:bookmarkEnd w:id="11"/>
      <w:bookmarkEnd w:id="12"/>
    </w:p>
    <w:p w14:paraId="52E57B2F">
      <w:pPr>
        <w:spacing w:line="560" w:lineRule="exact"/>
        <w:ind w:firstLine="640" w:firstLineChars="200"/>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仙游县古洋水库管理中心单位的主要职责是：</w:t>
      </w:r>
    </w:p>
    <w:p w14:paraId="6386E168">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w:t>
      </w:r>
      <w:r>
        <w:rPr>
          <w:rFonts w:hint="eastAsia" w:ascii="仿宋" w:hAnsi="仿宋" w:eastAsia="仿宋" w:cs="仿宋_GB2312"/>
          <w:sz w:val="32"/>
          <w:szCs w:val="32"/>
        </w:rPr>
        <w:t>狠抓防汛工作，确保水库安全渡汛。</w:t>
      </w:r>
    </w:p>
    <w:p w14:paraId="6B4FC386">
      <w:pPr>
        <w:pStyle w:val="9"/>
        <w:ind w:firstLine="640" w:firstLineChars="200"/>
        <w:rPr>
          <w:rFonts w:ascii="仿宋" w:hAnsi="仿宋" w:eastAsia="仿宋" w:cs="仿宋_GB2312"/>
          <w:kern w:val="2"/>
          <w:sz w:val="32"/>
          <w:szCs w:val="32"/>
          <w:lang w:eastAsia="zh-CN"/>
        </w:rPr>
      </w:pPr>
      <w:r>
        <w:rPr>
          <w:rFonts w:hint="eastAsia" w:ascii="仿宋" w:hAnsi="仿宋" w:eastAsia="仿宋" w:cs="仿宋_GB2312"/>
          <w:kern w:val="2"/>
          <w:sz w:val="32"/>
          <w:szCs w:val="32"/>
          <w:lang w:eastAsia="zh-CN"/>
        </w:rPr>
        <w:t>（二）加强大坝及库区的巡查力度，确保大坝及库区水源地安全</w:t>
      </w:r>
      <w:r>
        <w:rPr>
          <w:rFonts w:hint="eastAsia" w:ascii="仿宋" w:hAnsi="仿宋" w:eastAsia="仿宋" w:cs="仿宋_GB2312"/>
          <w:sz w:val="32"/>
          <w:szCs w:val="32"/>
          <w:lang w:eastAsia="zh-CN"/>
        </w:rPr>
        <w:t>。</w:t>
      </w:r>
    </w:p>
    <w:p w14:paraId="3B2B6D3C">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（三）加强水资源保护管理，确保饮水安全，保护库区水</w:t>
      </w:r>
      <w:r>
        <w:rPr>
          <w:rFonts w:ascii="仿宋" w:hAnsi="仿宋" w:eastAsia="仿宋" w:cs="仿宋_GB2312"/>
          <w:sz w:val="32"/>
          <w:szCs w:val="32"/>
        </w:rPr>
        <w:t>源清洁</w:t>
      </w:r>
      <w:r>
        <w:rPr>
          <w:rFonts w:hint="eastAsia" w:ascii="仿宋" w:hAnsi="仿宋" w:eastAsia="仿宋" w:cs="仿宋_GB2312"/>
          <w:sz w:val="32"/>
          <w:szCs w:val="32"/>
        </w:rPr>
        <w:t>，</w:t>
      </w:r>
      <w:r>
        <w:rPr>
          <w:rFonts w:ascii="仿宋" w:hAnsi="仿宋" w:eastAsia="仿宋" w:cs="仿宋_GB2312"/>
          <w:sz w:val="32"/>
          <w:szCs w:val="32"/>
        </w:rPr>
        <w:t>力争水库发挥最大效益</w:t>
      </w:r>
      <w:r>
        <w:rPr>
          <w:rFonts w:hint="eastAsia" w:ascii="仿宋" w:hAnsi="仿宋" w:eastAsia="仿宋" w:cs="仿宋_GB2312"/>
          <w:sz w:val="32"/>
          <w:szCs w:val="32"/>
        </w:rPr>
        <w:t>。</w:t>
      </w:r>
    </w:p>
    <w:p w14:paraId="24B2726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002"/>
      <w:bookmarkStart w:id="14" w:name="_Toc256000102"/>
      <w:bookmarkStart w:id="15" w:name="_Toc256000052"/>
      <w:bookmarkStart w:id="16" w:name="_Toc256000077"/>
      <w:bookmarkStart w:id="17" w:name="_Toc256000027"/>
      <w:bookmarkStart w:id="18" w:name="_Toc256000127"/>
      <w:r>
        <w:rPr>
          <w:rFonts w:ascii="黑体" w:hAnsi="黑体" w:eastAsia="黑体" w:cs="黑体"/>
          <w:b w:val="0"/>
          <w:bCs w:val="0"/>
          <w:spacing w:val="0"/>
        </w:rPr>
        <w:t>二、单位基本情况</w:t>
      </w:r>
      <w:bookmarkEnd w:id="13"/>
      <w:bookmarkEnd w:id="14"/>
      <w:bookmarkEnd w:id="15"/>
      <w:bookmarkEnd w:id="16"/>
      <w:bookmarkEnd w:id="17"/>
      <w:bookmarkEnd w:id="18"/>
    </w:p>
    <w:p w14:paraId="7F03964C">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w:t>
      </w:r>
      <w:r>
        <w:rPr>
          <w:rFonts w:hint="eastAsia" w:ascii="仿宋_GB2312" w:hAnsi="仿宋_GB2312" w:eastAsia="仿宋_GB2312" w:cs="仿宋_GB2312"/>
          <w:spacing w:val="0"/>
          <w:kern w:val="0"/>
          <w:sz w:val="32"/>
          <w:szCs w:val="32"/>
          <w:lang w:val="en-US" w:eastAsia="zh-CN"/>
        </w:rPr>
        <w:t>1</w:t>
      </w:r>
      <w:r>
        <w:rPr>
          <w:rFonts w:ascii="仿宋_GB2312" w:hAnsi="仿宋_GB2312" w:eastAsia="仿宋_GB2312" w:cs="仿宋_GB2312"/>
          <w:spacing w:val="0"/>
          <w:kern w:val="0"/>
          <w:sz w:val="32"/>
          <w:szCs w:val="32"/>
        </w:rPr>
        <w:t>个内设机构，其中：列入2024年决算编制范围的单位详细情况见下表:</w:t>
      </w:r>
    </w:p>
    <w:tbl>
      <w:tblPr>
        <w:tblStyle w:val="20"/>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23753DC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73C70236">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DAE3713">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1CB34527">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4DC2EDC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258" w:type="dxa"/>
            <w:tcBorders>
              <w:top w:val="inset" w:color="808080" w:sz="6" w:space="0"/>
              <w:right w:val="inset" w:color="808080" w:sz="6" w:space="0"/>
            </w:tcBorders>
            <w:noWrap w:val="0"/>
            <w:tcMar>
              <w:top w:w="22" w:type="dxa"/>
              <w:left w:w="22" w:type="dxa"/>
              <w:bottom w:w="22" w:type="dxa"/>
              <w:right w:w="22" w:type="dxa"/>
            </w:tcMar>
            <w:vAlign w:val="center"/>
          </w:tcPr>
          <w:p w14:paraId="5B0CD8D4">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仙游县古洋水库管理中心</w:t>
            </w:r>
          </w:p>
        </w:tc>
        <w:tc>
          <w:tcPr>
            <w:tcW w:w="319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601D83C4">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公益二类事业单位</w:t>
            </w:r>
          </w:p>
        </w:tc>
        <w:tc>
          <w:tcPr>
            <w:tcW w:w="2129" w:type="dxa"/>
            <w:tcBorders>
              <w:top w:val="inset" w:color="808080" w:sz="6" w:space="0"/>
              <w:left w:val="inset" w:color="808080" w:sz="6" w:space="0"/>
            </w:tcBorders>
            <w:noWrap w:val="0"/>
            <w:tcMar>
              <w:top w:w="22" w:type="dxa"/>
              <w:left w:w="22" w:type="dxa"/>
              <w:bottom w:w="22" w:type="dxa"/>
              <w:right w:w="22" w:type="dxa"/>
            </w:tcMar>
            <w:vAlign w:val="center"/>
          </w:tcPr>
          <w:p w14:paraId="4324DA24">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38</w:t>
            </w:r>
          </w:p>
        </w:tc>
      </w:tr>
    </w:tbl>
    <w:p w14:paraId="033B4CC2">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28"/>
      <w:bookmarkStart w:id="20" w:name="_Toc256000128"/>
      <w:bookmarkStart w:id="21" w:name="_Toc256000078"/>
      <w:bookmarkStart w:id="22" w:name="_Toc256000053"/>
      <w:bookmarkStart w:id="23" w:name="_Toc256000003"/>
      <w:bookmarkStart w:id="24" w:name="_Toc256000103"/>
      <w:r>
        <w:rPr>
          <w:rFonts w:ascii="黑体" w:hAnsi="黑体" w:eastAsia="黑体" w:cs="黑体"/>
          <w:b w:val="0"/>
          <w:bCs w:val="0"/>
          <w:spacing w:val="0"/>
        </w:rPr>
        <w:t>三、单位主要工作总结</w:t>
      </w:r>
      <w:bookmarkEnd w:id="19"/>
      <w:bookmarkEnd w:id="20"/>
      <w:bookmarkEnd w:id="21"/>
      <w:bookmarkEnd w:id="22"/>
      <w:bookmarkEnd w:id="23"/>
      <w:bookmarkEnd w:id="24"/>
    </w:p>
    <w:p w14:paraId="7623DA6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2024年，仙游县古洋水库管理中心单位主要任务是：围绕上述任务，重点完成了以下工作：</w:t>
      </w:r>
    </w:p>
    <w:p w14:paraId="36BAE9A4">
      <w:pPr>
        <w:spacing w:line="560" w:lineRule="exact"/>
        <w:ind w:firstLine="640" w:firstLineChars="200"/>
        <w:rPr>
          <w:rFonts w:ascii="仿宋" w:hAnsi="仿宋" w:eastAsia="仿宋"/>
          <w:sz w:val="32"/>
          <w:szCs w:val="32"/>
        </w:rPr>
      </w:pPr>
      <w:r>
        <w:rPr>
          <w:rFonts w:hint="eastAsia" w:ascii="仿宋" w:hAnsi="仿宋" w:eastAsia="仿宋"/>
          <w:sz w:val="32"/>
          <w:szCs w:val="32"/>
        </w:rPr>
        <w:t>（一）加强思想政治建设。坚持以习近平新时代中国特色社会主义思想为指导，贯彻落实党的二十大精神，贯彻落实习近平总书记对福建工作的一系列重要讲话重要指示精神，秉承弘扬习近平总书记关于治理木兰溪的重要指示精神，结合开展学习贯彻习近平新时代中国特色社会主义思想主题教育和实施“深学深优、敢为争先、实干争效”行动，深刻领悟“两个确立”的决定性意义，增强“四个意识”，坚定“四个自信”，坚决做到“两个维护”；强化责任担当，改进作风，不断提振干事创业精气神，充分发挥党员的先锋模范作用，增强支部组织的战斗堡垒作用。</w:t>
      </w:r>
    </w:p>
    <w:p w14:paraId="203F7F9F">
      <w:pPr>
        <w:spacing w:line="560" w:lineRule="exact"/>
        <w:ind w:firstLine="640" w:firstLineChars="200"/>
        <w:rPr>
          <w:rFonts w:ascii="仿宋" w:hAnsi="仿宋" w:eastAsia="仿宋"/>
          <w:sz w:val="32"/>
          <w:szCs w:val="32"/>
        </w:rPr>
      </w:pPr>
      <w:r>
        <w:rPr>
          <w:rFonts w:hint="eastAsia" w:ascii="仿宋" w:hAnsi="仿宋" w:eastAsia="仿宋"/>
          <w:sz w:val="32"/>
          <w:szCs w:val="32"/>
        </w:rPr>
        <w:t>（二）落实水库大坝安全责任。按照省、市、县有关文件要求，在大坝设立202</w:t>
      </w:r>
      <w:r>
        <w:rPr>
          <w:rFonts w:hint="eastAsia" w:ascii="仿宋" w:hAnsi="仿宋" w:eastAsia="仿宋"/>
          <w:sz w:val="32"/>
          <w:szCs w:val="32"/>
          <w:lang w:val="en-US" w:eastAsia="zh-CN"/>
        </w:rPr>
        <w:t>4</w:t>
      </w:r>
      <w:r>
        <w:rPr>
          <w:rFonts w:hint="eastAsia" w:ascii="仿宋" w:hAnsi="仿宋" w:eastAsia="仿宋"/>
          <w:sz w:val="32"/>
          <w:szCs w:val="32"/>
        </w:rPr>
        <w:t>年水库大坝安全三个责任人和水库安全度汛三个责任人公示牌。组织技术人员对水库大坝、溢洪道、输水涵洞、水文测报系统等建筑物和设备进行汛前安全检查，确保水库大坝的安全运行。</w:t>
      </w:r>
    </w:p>
    <w:p w14:paraId="5B1C4D8D">
      <w:pPr>
        <w:spacing w:line="560" w:lineRule="exact"/>
        <w:ind w:firstLine="640" w:firstLineChars="200"/>
        <w:rPr>
          <w:rFonts w:ascii="仿宋" w:hAnsi="仿宋" w:eastAsia="仿宋"/>
          <w:sz w:val="32"/>
          <w:szCs w:val="32"/>
        </w:rPr>
      </w:pPr>
      <w:r>
        <w:rPr>
          <w:rFonts w:hint="eastAsia" w:ascii="仿宋" w:hAnsi="仿宋" w:eastAsia="仿宋"/>
          <w:sz w:val="32"/>
          <w:szCs w:val="32"/>
        </w:rPr>
        <w:t>（三）落实安全生产责任制。按照安全生产“党政同责，一岗双责”要求，成立以主任为组长，副主任、技术主管为副组长、各站组长为成员的水库管理中心安全生产领导小组，下设办公室，指定专人负责，各站组实行站组长负责制，负责本站组内生产安全、管理安全工作，做到齐抓共管，同布置同落实。</w:t>
      </w:r>
    </w:p>
    <w:p w14:paraId="28BE97A3">
      <w:pPr>
        <w:spacing w:line="560" w:lineRule="exact"/>
        <w:ind w:firstLine="640" w:firstLineChars="200"/>
        <w:rPr>
          <w:rFonts w:ascii="仿宋" w:hAnsi="仿宋" w:eastAsia="仿宋"/>
          <w:sz w:val="32"/>
          <w:szCs w:val="32"/>
        </w:rPr>
      </w:pPr>
      <w:r>
        <w:rPr>
          <w:rFonts w:hint="eastAsia" w:ascii="仿宋" w:hAnsi="仿宋" w:eastAsia="仿宋"/>
          <w:sz w:val="32"/>
          <w:szCs w:val="32"/>
        </w:rPr>
        <w:t>（四）加强巡查养护。建立健全水库日常巡查制度，落实巡查人员，严格按照上级要求做好日常巡查、特别巡查、年度巡查和巡查记录，及时将发现的安全隐患按要求整改。加强库面巡查力度，坚决制止游泳、钓鱼现象，保护水资源安全。</w:t>
      </w:r>
    </w:p>
    <w:p w14:paraId="205031EB">
      <w:pPr>
        <w:spacing w:line="560" w:lineRule="exact"/>
        <w:ind w:firstLine="640" w:firstLineChars="200"/>
        <w:rPr>
          <w:rFonts w:ascii="仿宋" w:hAnsi="仿宋" w:eastAsia="仿宋"/>
          <w:sz w:val="32"/>
          <w:szCs w:val="32"/>
        </w:rPr>
      </w:pPr>
      <w:r>
        <w:rPr>
          <w:rFonts w:hint="eastAsia" w:ascii="仿宋" w:hAnsi="仿宋" w:eastAsia="仿宋"/>
          <w:sz w:val="32"/>
          <w:szCs w:val="32"/>
        </w:rPr>
        <w:t>（五）成立防汛抗旱领导机构、调整充实防汛抗旱突击队伍。组建二支防汛抗旱突击队伍；按照上级要求，认真组织开展防汛抢险应急演练。</w:t>
      </w:r>
    </w:p>
    <w:p w14:paraId="748284D8">
      <w:pPr>
        <w:sectPr>
          <w:footerReference r:id="rId6" w:type="default"/>
          <w:pgSz w:w="11906" w:h="16838"/>
          <w:pgMar w:top="1440" w:right="720" w:bottom="1440" w:left="720" w:header="720" w:footer="720" w:gutter="0"/>
          <w:cols w:space="720" w:num="1"/>
        </w:sectPr>
      </w:pPr>
    </w:p>
    <w:p w14:paraId="3016748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25CDBC5">
      <w:pPr>
        <w:pStyle w:val="29"/>
        <w:widowControl/>
        <w:spacing w:before="100" w:after="100"/>
        <w:ind w:left="100" w:right="100" w:firstLine="640"/>
        <w:jc w:val="left"/>
        <w:rPr>
          <w:rFonts w:ascii="Times New Roman" w:hAnsi="Times New Roman" w:eastAsia="Times New Roman" w:cs="Times New Roman"/>
          <w:kern w:val="0"/>
          <w:sz w:val="24"/>
        </w:rPr>
      </w:pPr>
    </w:p>
    <w:p w14:paraId="1DB42BA1">
      <w:pPr>
        <w:pStyle w:val="29"/>
        <w:widowControl/>
        <w:spacing w:before="100" w:after="100"/>
        <w:ind w:left="100" w:right="100" w:firstLine="640"/>
        <w:jc w:val="left"/>
        <w:rPr>
          <w:rFonts w:ascii="Times New Roman" w:hAnsi="Times New Roman" w:eastAsia="Times New Roman" w:cs="Times New Roman"/>
          <w:kern w:val="0"/>
          <w:sz w:val="24"/>
        </w:rPr>
      </w:pPr>
    </w:p>
    <w:p w14:paraId="59FBB0AC">
      <w:pPr>
        <w:pStyle w:val="29"/>
        <w:widowControl/>
        <w:spacing w:before="100" w:after="100"/>
        <w:ind w:left="100" w:right="100" w:firstLine="640"/>
        <w:jc w:val="left"/>
        <w:rPr>
          <w:rFonts w:ascii="Times New Roman" w:hAnsi="Times New Roman" w:eastAsia="Times New Roman" w:cs="Times New Roman"/>
          <w:kern w:val="0"/>
          <w:sz w:val="24"/>
        </w:rPr>
      </w:pPr>
    </w:p>
    <w:p w14:paraId="54348392">
      <w:pPr>
        <w:pStyle w:val="29"/>
        <w:widowControl/>
        <w:spacing w:before="100" w:after="100"/>
        <w:ind w:left="100" w:right="100" w:firstLine="640"/>
        <w:jc w:val="left"/>
        <w:rPr>
          <w:rFonts w:ascii="Times New Roman" w:hAnsi="Times New Roman" w:eastAsia="Times New Roman" w:cs="Times New Roman"/>
          <w:kern w:val="0"/>
          <w:sz w:val="24"/>
        </w:rPr>
      </w:pPr>
    </w:p>
    <w:p w14:paraId="4BB23B3F">
      <w:pPr>
        <w:pStyle w:val="29"/>
        <w:widowControl/>
        <w:spacing w:before="100" w:after="100"/>
        <w:ind w:left="100" w:right="100" w:firstLine="640"/>
        <w:jc w:val="left"/>
        <w:rPr>
          <w:rFonts w:ascii="Times New Roman" w:hAnsi="Times New Roman" w:eastAsia="Times New Roman" w:cs="Times New Roman"/>
          <w:kern w:val="0"/>
          <w:sz w:val="24"/>
        </w:rPr>
      </w:pPr>
    </w:p>
    <w:p w14:paraId="7A462D10">
      <w:pPr>
        <w:pStyle w:val="29"/>
        <w:widowControl/>
        <w:spacing w:before="100" w:after="100"/>
        <w:ind w:left="100" w:right="100" w:firstLine="640"/>
        <w:jc w:val="left"/>
        <w:rPr>
          <w:rFonts w:ascii="Times New Roman" w:hAnsi="Times New Roman" w:eastAsia="Times New Roman" w:cs="Times New Roman"/>
          <w:kern w:val="0"/>
          <w:sz w:val="24"/>
        </w:rPr>
      </w:pPr>
    </w:p>
    <w:p w14:paraId="138A154E">
      <w:pPr>
        <w:pStyle w:val="29"/>
        <w:widowControl/>
        <w:spacing w:before="100" w:after="100"/>
        <w:ind w:left="100" w:right="100" w:firstLine="640"/>
        <w:jc w:val="left"/>
        <w:rPr>
          <w:rFonts w:ascii="Times New Roman" w:hAnsi="Times New Roman" w:eastAsia="Times New Roman" w:cs="Times New Roman"/>
          <w:kern w:val="0"/>
          <w:sz w:val="24"/>
        </w:rPr>
      </w:pPr>
    </w:p>
    <w:p w14:paraId="512F671E">
      <w:pPr>
        <w:pStyle w:val="29"/>
        <w:widowControl/>
        <w:spacing w:before="100" w:after="100"/>
        <w:ind w:left="100" w:right="100" w:firstLine="640"/>
        <w:jc w:val="left"/>
        <w:rPr>
          <w:rFonts w:ascii="Times New Roman" w:hAnsi="Times New Roman" w:eastAsia="Times New Roman" w:cs="Times New Roman"/>
          <w:kern w:val="0"/>
          <w:sz w:val="24"/>
        </w:rPr>
      </w:pPr>
    </w:p>
    <w:p w14:paraId="4076E61D">
      <w:pPr>
        <w:pStyle w:val="29"/>
        <w:widowControl/>
        <w:spacing w:before="100" w:after="100"/>
        <w:ind w:left="100" w:right="100" w:firstLine="640"/>
        <w:jc w:val="left"/>
        <w:rPr>
          <w:rFonts w:ascii="Times New Roman" w:hAnsi="Times New Roman" w:eastAsia="Times New Roman" w:cs="Times New Roman"/>
          <w:kern w:val="0"/>
          <w:sz w:val="24"/>
        </w:rPr>
      </w:pPr>
    </w:p>
    <w:p w14:paraId="7DDEE0C4">
      <w:pPr>
        <w:pStyle w:val="29"/>
        <w:widowControl/>
        <w:spacing w:before="100" w:after="100"/>
        <w:ind w:left="100" w:right="100" w:firstLine="640"/>
        <w:jc w:val="left"/>
        <w:rPr>
          <w:rFonts w:ascii="Times New Roman" w:hAnsi="Times New Roman" w:eastAsia="Times New Roman" w:cs="Times New Roman"/>
          <w:kern w:val="0"/>
          <w:sz w:val="24"/>
        </w:rPr>
      </w:pPr>
    </w:p>
    <w:p w14:paraId="26BD36C9">
      <w:pPr>
        <w:pStyle w:val="29"/>
        <w:widowControl/>
        <w:spacing w:before="100" w:after="100"/>
        <w:ind w:left="100" w:right="100" w:firstLine="640"/>
        <w:jc w:val="left"/>
        <w:rPr>
          <w:rFonts w:ascii="Times New Roman" w:hAnsi="Times New Roman" w:eastAsia="Times New Roman" w:cs="Times New Roman"/>
          <w:kern w:val="0"/>
          <w:sz w:val="24"/>
        </w:rPr>
      </w:pPr>
    </w:p>
    <w:p w14:paraId="03443829">
      <w:pPr>
        <w:pStyle w:val="29"/>
        <w:widowControl/>
        <w:spacing w:before="100" w:after="100"/>
        <w:ind w:left="100" w:right="100" w:firstLine="640"/>
        <w:jc w:val="left"/>
        <w:rPr>
          <w:rFonts w:ascii="Times New Roman" w:hAnsi="Times New Roman" w:eastAsia="Times New Roman" w:cs="Times New Roman"/>
          <w:kern w:val="0"/>
          <w:sz w:val="24"/>
        </w:rPr>
      </w:pPr>
    </w:p>
    <w:p w14:paraId="066993A9">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104"/>
      <w:bookmarkStart w:id="26" w:name="_Toc256000079"/>
      <w:bookmarkStart w:id="27" w:name="_Toc256000129"/>
      <w:bookmarkStart w:id="28" w:name="_Toc256000004"/>
      <w:bookmarkStart w:id="29" w:name="_Toc256000054"/>
      <w:bookmarkStart w:id="30" w:name="_Toc256000029"/>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14:paraId="70F6D806">
      <w:pPr>
        <w:sectPr>
          <w:footerReference r:id="rId7" w:type="default"/>
          <w:pgSz w:w="11906" w:h="16838"/>
          <w:pgMar w:top="1440" w:right="720" w:bottom="1440" w:left="720" w:header="720" w:footer="720" w:gutter="0"/>
          <w:cols w:space="720" w:num="1"/>
        </w:sectPr>
      </w:pPr>
    </w:p>
    <w:p w14:paraId="354808F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A9A11B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105"/>
      <w:bookmarkStart w:id="32" w:name="_Toc256000005"/>
      <w:bookmarkStart w:id="33" w:name="_Toc256000030"/>
      <w:bookmarkStart w:id="34" w:name="_Toc256000130"/>
      <w:bookmarkStart w:id="35" w:name="_Toc256000080"/>
      <w:bookmarkStart w:id="36" w:name="_Toc256000055"/>
      <w:r>
        <w:rPr>
          <w:rFonts w:ascii="黑体" w:hAnsi="黑体" w:eastAsia="黑体" w:cs="黑体"/>
          <w:b w:val="0"/>
          <w:bCs w:val="0"/>
          <w:spacing w:val="0"/>
        </w:rPr>
        <w:t>一、收入支出决算总表</w:t>
      </w:r>
      <w:bookmarkEnd w:id="31"/>
      <w:bookmarkEnd w:id="32"/>
      <w:bookmarkEnd w:id="33"/>
      <w:bookmarkEnd w:id="34"/>
      <w:bookmarkEnd w:id="35"/>
      <w:bookmarkEnd w:id="36"/>
    </w:p>
    <w:p w14:paraId="339A100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3789"/>
        <w:gridCol w:w="3790"/>
        <w:gridCol w:w="3790"/>
        <w:gridCol w:w="3790"/>
      </w:tblGrid>
      <w:tr w14:paraId="593FCE0B">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5BA8CA0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019C959C">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3596B0D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350CA4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B8BF2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7F6FF09D">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2C3279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编制单位：仙游县古洋水库管理中心</w:t>
            </w:r>
          </w:p>
        </w:tc>
        <w:tc>
          <w:tcPr>
            <w:tcW w:w="21600" w:type="dxa"/>
            <w:noWrap w:val="0"/>
            <w:tcMar>
              <w:top w:w="20" w:type="dxa"/>
              <w:left w:w="108" w:type="dxa"/>
              <w:bottom w:w="20" w:type="dxa"/>
              <w:right w:w="108" w:type="dxa"/>
            </w:tcMar>
            <w:vAlign w:val="center"/>
          </w:tcPr>
          <w:p w14:paraId="614530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90BD6AF">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9E0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2F8D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63BBF30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D37BD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38EF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1ED8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E1D9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7E76961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B25A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E3BF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D042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3CF9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9896D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660C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8D68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E045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4FBF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7C20D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778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C339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D15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497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C859F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5FCC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149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7B74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17CD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2B95E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0247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8EF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EDEB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534E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22E9D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4071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A2B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ABD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31F3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041A7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F5B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9C8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0DE9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8ACC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2E556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296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B146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D134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5C8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6CAD6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F379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C0996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2A13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8011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F153A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C658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F838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732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6B1C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DBCF6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DB4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1E7B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758A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A71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1252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E44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DA0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BDF6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D038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r>
      <w:tr w14:paraId="184C276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458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ADB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61B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D48F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CAD18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22B7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8104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D8A5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4498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1DF35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30D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CA85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21C5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68C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09BD7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0E2D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ED9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A5D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DD9C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1239B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6436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C9E2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ABAE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EAA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0983B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EB2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D59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0BC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94D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88844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5A6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5267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A6E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875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73DCD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C9E8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809C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946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112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823EC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96C6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524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DA5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9DB8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6B7EA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FCA8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2B58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253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F0F9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D27B0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4C0B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5A45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1E0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6C9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307B3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9580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656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6007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38B1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33B9B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15DC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589C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BEA3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E38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3B0BD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200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E8D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06B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C0B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7B8D1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394E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6A4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4DDB8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B478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r>
      <w:tr w14:paraId="7EDA86A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C783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4D05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8C3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329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17AFB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35AA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E29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9E8E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70F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ABCF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0E1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FFF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12F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C68B0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7614B62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8394C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04C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3ED3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276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r>
      <w:tr w14:paraId="7BEBBDA3">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0119681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040C092A">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181825C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6AF65506">
      <w:pPr>
        <w:sectPr>
          <w:footerReference r:id="rId8" w:type="default"/>
          <w:pgSz w:w="16383" w:h="11906" w:orient="landscape"/>
          <w:pgMar w:top="1134" w:right="720" w:bottom="1134" w:left="720" w:header="720" w:footer="720" w:gutter="0"/>
          <w:cols w:space="720" w:num="1"/>
        </w:sectPr>
      </w:pPr>
    </w:p>
    <w:p w14:paraId="5230A514">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546820F6">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31"/>
      <w:bookmarkStart w:id="38" w:name="_Toc256000056"/>
      <w:bookmarkStart w:id="39" w:name="_Toc256000131"/>
      <w:bookmarkStart w:id="40" w:name="_Toc256000006"/>
      <w:bookmarkStart w:id="41" w:name="_Toc256000106"/>
      <w:bookmarkStart w:id="42" w:name="_Toc256000081"/>
      <w:r>
        <w:rPr>
          <w:rFonts w:ascii="黑体" w:hAnsi="黑体" w:eastAsia="黑体" w:cs="黑体"/>
          <w:b w:val="0"/>
          <w:bCs w:val="0"/>
          <w:spacing w:val="0"/>
        </w:rPr>
        <w:t>二、收入决算表</w:t>
      </w:r>
      <w:bookmarkEnd w:id="37"/>
      <w:bookmarkEnd w:id="38"/>
      <w:bookmarkEnd w:id="39"/>
      <w:bookmarkEnd w:id="40"/>
      <w:bookmarkEnd w:id="41"/>
      <w:bookmarkEnd w:id="42"/>
    </w:p>
    <w:p w14:paraId="1FDD646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20"/>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140C5E83">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57BA146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24203729">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2C4A0AA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65F3FDF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3EC966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D842B7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A86B0F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05E489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CCAB0A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A3EBF8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628BD8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70094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0780E77C">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3D59D9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编制单位：仙游县古洋水库管理中心</w:t>
            </w:r>
          </w:p>
        </w:tc>
        <w:tc>
          <w:tcPr>
            <w:tcW w:w="21600" w:type="dxa"/>
            <w:noWrap w:val="0"/>
            <w:tcMar>
              <w:top w:w="20" w:type="dxa"/>
              <w:left w:w="108" w:type="dxa"/>
              <w:bottom w:w="20" w:type="dxa"/>
              <w:right w:w="108" w:type="dxa"/>
            </w:tcMar>
            <w:vAlign w:val="bottom"/>
          </w:tcPr>
          <w:p w14:paraId="7D93A59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418D2F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2BB9EE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3D32E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5AF8CF6">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8FB5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7AA40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F63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CF7C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65F7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7C782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04623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7CD6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795922C0">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D34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520CA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16756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006EF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6A264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2B68B2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584F0D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4A8B72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3FDA9E6">
            <w:pPr>
              <w:rPr>
                <w:rFonts w:ascii="Times New Roman" w:hAnsi="Times New Roman" w:eastAsia="Times New Roman" w:cs="Times New Roman"/>
                <w:b w:val="0"/>
                <w:bCs w:val="0"/>
                <w:i w:val="0"/>
                <w:iCs w:val="0"/>
                <w:smallCaps w:val="0"/>
                <w:color w:val="000000"/>
                <w:kern w:val="0"/>
                <w:sz w:val="26"/>
                <w:szCs w:val="26"/>
              </w:rPr>
            </w:pPr>
          </w:p>
        </w:tc>
      </w:tr>
      <w:tr w14:paraId="606A7254">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B325B7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D521B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98B21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7A6446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32DEB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E7F31C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716C2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49502C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E44E489">
            <w:pPr>
              <w:rPr>
                <w:rFonts w:ascii="Times New Roman" w:hAnsi="Times New Roman" w:eastAsia="Times New Roman" w:cs="Times New Roman"/>
                <w:b w:val="0"/>
                <w:bCs w:val="0"/>
                <w:i w:val="0"/>
                <w:iCs w:val="0"/>
                <w:smallCaps w:val="0"/>
                <w:color w:val="000000"/>
                <w:kern w:val="0"/>
                <w:sz w:val="26"/>
                <w:szCs w:val="26"/>
              </w:rPr>
            </w:pPr>
          </w:p>
        </w:tc>
      </w:tr>
      <w:tr w14:paraId="70EBFC0D">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803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CF262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8FC3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A6AA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517C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17F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FFED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FC85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99E6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5C9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53E6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72AD0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42D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05B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4E55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088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C221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668F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6F85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D87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F418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2C15D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A35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8D4C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05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A9F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71F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92F0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E334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0D3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D55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DAD99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806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BE1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水利工程运行与维护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D94C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5E8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97C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4D90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9192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8312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655E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284BB2">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6C1EEE2C">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4F900831">
      <w:pPr>
        <w:sectPr>
          <w:footerReference r:id="rId9" w:type="default"/>
          <w:pgSz w:w="16383" w:h="11906" w:orient="landscape"/>
          <w:pgMar w:top="1134" w:right="720" w:bottom="1134" w:left="720" w:header="720" w:footer="720" w:gutter="0"/>
          <w:cols w:space="720" w:num="1"/>
        </w:sectPr>
      </w:pPr>
    </w:p>
    <w:p w14:paraId="1768CA9D">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09C814C5">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82"/>
      <w:bookmarkStart w:id="44" w:name="_Toc256000132"/>
      <w:bookmarkStart w:id="45" w:name="_Toc256000032"/>
      <w:bookmarkStart w:id="46" w:name="_Toc256000107"/>
      <w:bookmarkStart w:id="47" w:name="_Toc256000007"/>
      <w:bookmarkStart w:id="48" w:name="_Toc256000057"/>
      <w:r>
        <w:rPr>
          <w:rFonts w:ascii="黑体" w:hAnsi="黑体" w:eastAsia="黑体" w:cs="黑体"/>
          <w:b w:val="0"/>
          <w:bCs w:val="0"/>
          <w:spacing w:val="0"/>
        </w:rPr>
        <w:t>三、支出决算表</w:t>
      </w:r>
      <w:bookmarkEnd w:id="43"/>
      <w:bookmarkEnd w:id="44"/>
      <w:bookmarkEnd w:id="45"/>
      <w:bookmarkEnd w:id="46"/>
      <w:bookmarkEnd w:id="47"/>
      <w:bookmarkEnd w:id="48"/>
    </w:p>
    <w:p w14:paraId="03D206E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1953D35A">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6421CCF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58E4555B">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2348E88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5FBC43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D3EC74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9A76A7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29007D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0BE88F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528B9F2E">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3157FE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编制单位：仙游县古洋水库管理中心</w:t>
            </w:r>
          </w:p>
        </w:tc>
        <w:tc>
          <w:tcPr>
            <w:tcW w:w="21600" w:type="dxa"/>
            <w:noWrap w:val="0"/>
            <w:tcMar>
              <w:top w:w="20" w:type="dxa"/>
              <w:left w:w="108" w:type="dxa"/>
              <w:bottom w:w="20" w:type="dxa"/>
              <w:right w:w="108" w:type="dxa"/>
            </w:tcMar>
            <w:vAlign w:val="bottom"/>
          </w:tcPr>
          <w:p w14:paraId="4ACC2C8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F1433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23E9C18">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7436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CC087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F955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CF60B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ADA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4428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438F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51C7A84B">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A6CF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AD31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31EB36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EA6DF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51BAC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97CCDC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189BA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B71F7C8">
            <w:pPr>
              <w:rPr>
                <w:rFonts w:ascii="Times New Roman" w:hAnsi="Times New Roman" w:eastAsia="Times New Roman" w:cs="Times New Roman"/>
                <w:b w:val="0"/>
                <w:bCs w:val="0"/>
                <w:i w:val="0"/>
                <w:iCs w:val="0"/>
                <w:smallCaps w:val="0"/>
                <w:color w:val="000000"/>
                <w:kern w:val="0"/>
                <w:sz w:val="26"/>
                <w:szCs w:val="26"/>
              </w:rPr>
            </w:pPr>
          </w:p>
        </w:tc>
      </w:tr>
      <w:tr w14:paraId="634254F1">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58F46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41F064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9AFE15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32516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09407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DD6CB8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550D82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0D1FB9A">
            <w:pPr>
              <w:rPr>
                <w:rFonts w:ascii="Times New Roman" w:hAnsi="Times New Roman" w:eastAsia="Times New Roman" w:cs="Times New Roman"/>
                <w:b w:val="0"/>
                <w:bCs w:val="0"/>
                <w:i w:val="0"/>
                <w:iCs w:val="0"/>
                <w:smallCaps w:val="0"/>
                <w:color w:val="000000"/>
                <w:kern w:val="0"/>
                <w:sz w:val="26"/>
                <w:szCs w:val="26"/>
              </w:rPr>
            </w:pPr>
          </w:p>
        </w:tc>
      </w:tr>
      <w:tr w14:paraId="2E0BA045">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0C2F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74E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D22C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6901C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FC2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FCCC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79E3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7018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F87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E3F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0A86E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2EB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24F1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326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7DD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3464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EC2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8CB3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12A0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5EE0A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BF0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E4A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BA5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3A2E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6C1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D16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DBC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B1CD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375B1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E1F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BF2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水利工程运行与维护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C5F3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8D2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7CEB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1135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BBF8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494F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DFEACD">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02A1DDC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0CA10A93">
      <w:pPr>
        <w:sectPr>
          <w:footerReference r:id="rId10" w:type="default"/>
          <w:pgSz w:w="16383" w:h="11906" w:orient="landscape"/>
          <w:pgMar w:top="1134" w:right="720" w:bottom="1134" w:left="720" w:header="720" w:footer="720" w:gutter="0"/>
          <w:cols w:space="720" w:num="1"/>
        </w:sectPr>
      </w:pPr>
    </w:p>
    <w:p w14:paraId="38C11A44">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0AD3E0F8">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58"/>
      <w:bookmarkStart w:id="50" w:name="_Toc256000108"/>
      <w:bookmarkStart w:id="51" w:name="_Toc256000033"/>
      <w:bookmarkStart w:id="52" w:name="_Toc256000008"/>
      <w:bookmarkStart w:id="53" w:name="_Toc256000083"/>
      <w:bookmarkStart w:id="54" w:name="_Toc256000133"/>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1EEDDB6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7CD38C0D">
        <w:tblPrEx>
          <w:tblCellMar>
            <w:top w:w="0" w:type="dxa"/>
            <w:left w:w="108" w:type="dxa"/>
            <w:bottom w:w="0" w:type="dxa"/>
            <w:right w:w="108" w:type="dxa"/>
          </w:tblCellMar>
        </w:tblPrEx>
        <w:trPr>
          <w:cantSplit/>
          <w:tblHeader/>
        </w:trPr>
        <w:tc>
          <w:tcPr>
            <w:tcW w:w="16377" w:type="dxa"/>
            <w:gridSpan w:val="7"/>
            <w:noWrap w:val="0"/>
            <w:tcMar>
              <w:top w:w="20" w:type="dxa"/>
              <w:left w:w="108" w:type="dxa"/>
              <w:bottom w:w="20" w:type="dxa"/>
              <w:right w:w="108" w:type="dxa"/>
            </w:tcMar>
            <w:vAlign w:val="center"/>
          </w:tcPr>
          <w:p w14:paraId="0540A7E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1DD027EF">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bottom"/>
          </w:tcPr>
          <w:p w14:paraId="20FB003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B2E71B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3"/>
            <w:noWrap w:val="0"/>
            <w:tcMar>
              <w:top w:w="20" w:type="dxa"/>
              <w:left w:w="108" w:type="dxa"/>
              <w:bottom w:w="20" w:type="dxa"/>
              <w:right w:w="108" w:type="dxa"/>
            </w:tcMar>
            <w:vAlign w:val="center"/>
          </w:tcPr>
          <w:p w14:paraId="0F2C6A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1D0B23F6">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428162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编制单位：仙游县古洋水库管理中心</w:t>
            </w:r>
          </w:p>
        </w:tc>
        <w:tc>
          <w:tcPr>
            <w:tcW w:w="21600" w:type="dxa"/>
            <w:noWrap w:val="0"/>
            <w:tcMar>
              <w:top w:w="20" w:type="dxa"/>
              <w:left w:w="108" w:type="dxa"/>
              <w:bottom w:w="20" w:type="dxa"/>
              <w:right w:w="108" w:type="dxa"/>
            </w:tcMar>
            <w:vAlign w:val="bottom"/>
          </w:tcPr>
          <w:p w14:paraId="7034A2A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3"/>
            <w:noWrap w:val="0"/>
            <w:tcMar>
              <w:top w:w="20" w:type="dxa"/>
              <w:left w:w="108" w:type="dxa"/>
              <w:bottom w:w="20" w:type="dxa"/>
              <w:right w:w="108" w:type="dxa"/>
            </w:tcMar>
            <w:vAlign w:val="center"/>
          </w:tcPr>
          <w:p w14:paraId="054BE8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8291D3E">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01B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494B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0F0644D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FC76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3667E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59D84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6D0C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ADE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6CB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25BD0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6687FAC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D85D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64D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75E1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372E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7CAD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C451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4214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7DA14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C09F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71A0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13A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34B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B6B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2F71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54C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ED8B3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5BB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59E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1C5B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8797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F3C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2915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FE3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49D49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A74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785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73B7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372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610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EFE8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332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48B09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C85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4804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5D1E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048C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DBE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016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D82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A5E85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C26A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472A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9B6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2D88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8EA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451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C42B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2A921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2245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6C4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FDF9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F23C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E2F8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C8D6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FFA5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66B66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B941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230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EFAB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FAB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DB8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7D1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955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BBC83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BAD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D9C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6FD8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6D3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AB73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4FD0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3DFB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3FB07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141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371E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FA8A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6847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C8C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88D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E896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79DCB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FDA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A3A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7A6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6F14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6901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17C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4F2A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6489F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2795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29D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D490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281F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65DD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E61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DE50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8809D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6FCE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941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96D3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DC04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CCBA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899B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E67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651AB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B32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888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008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219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C3C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BE4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7B39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EF95C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C0B77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11851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BB427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53C0B">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350378">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285F4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929D4C">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47F96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07DE8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1B6C87">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F2E3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2FE82">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47478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87657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F12B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DE550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AE07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5B2AA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6A46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0C1EF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890F9">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7DA9F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A9C64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A3EE6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F28875">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4C2E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2A2E0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F69A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82D2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C22A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07A66B">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A5147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23D7E6">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F51DA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3251C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10A6C">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8BE89">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6A62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54B0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C4AAD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B331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1514C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7446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62B18">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9F5D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E8629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DB4DD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3BC90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6415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EE4E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76C8C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258814">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2B3DF">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BD95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29BF4">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94A95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DB2B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F38C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95C56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7B733B">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B1BB50">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94CF4A">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686F41">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D1645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748EB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A4D715">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BB24D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390A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CFA7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1700F">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7E3A1">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5CA51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15D63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2EFCD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E92BB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B9AE4B">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43C37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0D12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3B16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D5D27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DC36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5E965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A3AE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1FEBED">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AAF1A8">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2609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3EEE9">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120726">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63506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BBB8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5411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0C9C5C">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E17598">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C47F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765ADF">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AEA92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2CA4C">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FA0E0">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24C9E0">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FEB07A">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41654">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E1BD9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56FB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8B01B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8F97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9CA41">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4F1B2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D300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EB604">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931AD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50C099">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B90D2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9039E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E79CF">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31E27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3B76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A0616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09D87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C10A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513A41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88323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9323B">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C8660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34DD6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490AA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98590">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D331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7B9820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9C14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2D137D">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CAA58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ABE9C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08CD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8FD57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0848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692006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056E20">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E92A6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1CFB4">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82ED8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E48A2D">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4C1B81">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16CE0">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FDFCBB">
        <w:tblPrEx>
          <w:tblCellMar>
            <w:top w:w="0" w:type="dxa"/>
            <w:left w:w="108" w:type="dxa"/>
            <w:bottom w:w="0" w:type="dxa"/>
            <w:right w:w="108" w:type="dxa"/>
          </w:tblCellMar>
        </w:tblPrEx>
        <w:trPr>
          <w:cantSplit/>
          <w:tblHeader/>
        </w:trPr>
        <w:tc>
          <w:tcPr>
            <w:tcW w:w="16377" w:type="dxa"/>
            <w:gridSpan w:val="7"/>
            <w:noWrap w:val="0"/>
            <w:tcMar>
              <w:top w:w="20" w:type="dxa"/>
              <w:left w:w="108" w:type="dxa"/>
              <w:bottom w:w="20" w:type="dxa"/>
              <w:right w:w="108" w:type="dxa"/>
            </w:tcMar>
            <w:vAlign w:val="center"/>
          </w:tcPr>
          <w:p w14:paraId="3B70F31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318E8CF3">
      <w:pPr>
        <w:keepNext w:val="0"/>
        <w:keepLines w:val="0"/>
        <w:pageBreakBefore w:val="0"/>
        <w:kinsoku/>
        <w:wordWrap/>
        <w:overflowPunct/>
        <w:topLinePunct w:val="0"/>
        <w:autoSpaceDE/>
        <w:autoSpaceDN/>
        <w:bidi w:val="0"/>
        <w:adjustRightInd/>
        <w:snapToGrid/>
        <w:spacing w:line="250" w:lineRule="exact"/>
        <w:textAlignment w:val="auto"/>
        <w:sectPr>
          <w:footerReference r:id="rId11" w:type="default"/>
          <w:pgSz w:w="16383" w:h="11906" w:orient="landscape"/>
          <w:pgMar w:top="1134" w:right="720" w:bottom="1134" w:left="720" w:header="720" w:footer="720" w:gutter="0"/>
          <w:cols w:space="720" w:num="1"/>
        </w:sectPr>
      </w:pPr>
    </w:p>
    <w:p w14:paraId="13440BA9">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7837A22E">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134"/>
      <w:bookmarkStart w:id="56" w:name="_Toc256000109"/>
      <w:bookmarkStart w:id="57" w:name="_Toc256000059"/>
      <w:bookmarkStart w:id="58" w:name="_Toc256000009"/>
      <w:bookmarkStart w:id="59" w:name="_Toc256000034"/>
      <w:bookmarkStart w:id="60" w:name="_Toc256000084"/>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750CB40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20"/>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0A717B05">
        <w:tblPrEx>
          <w:tblCellMar>
            <w:top w:w="0" w:type="dxa"/>
            <w:left w:w="108" w:type="dxa"/>
            <w:bottom w:w="0" w:type="dxa"/>
            <w:right w:w="108" w:type="dxa"/>
          </w:tblCellMar>
        </w:tblPrEx>
        <w:trPr>
          <w:cantSplit/>
          <w:tblHeader/>
        </w:trPr>
        <w:tc>
          <w:tcPr>
            <w:tcW w:w="16382" w:type="dxa"/>
            <w:gridSpan w:val="5"/>
            <w:noWrap w:val="0"/>
            <w:tcMar>
              <w:top w:w="20" w:type="dxa"/>
              <w:left w:w="108" w:type="dxa"/>
              <w:bottom w:w="20" w:type="dxa"/>
              <w:right w:w="108" w:type="dxa"/>
            </w:tcMar>
            <w:vAlign w:val="center"/>
          </w:tcPr>
          <w:p w14:paraId="2F0F913E">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4008FDB6">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7C519B6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DAFAEC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6ECFA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798D64E9">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2D522A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编制单位：仙游县古洋水库管理中心</w:t>
            </w:r>
          </w:p>
        </w:tc>
        <w:tc>
          <w:tcPr>
            <w:tcW w:w="21600" w:type="dxa"/>
            <w:gridSpan w:val="2"/>
            <w:noWrap w:val="0"/>
            <w:tcMar>
              <w:top w:w="20" w:type="dxa"/>
              <w:left w:w="108" w:type="dxa"/>
              <w:bottom w:w="20" w:type="dxa"/>
              <w:right w:w="108" w:type="dxa"/>
            </w:tcMar>
            <w:vAlign w:val="center"/>
          </w:tcPr>
          <w:p w14:paraId="4525A6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AAFB658">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E858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1C1DF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66481C15">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56E8F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52C52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1FCFB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84B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7552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025CAC6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F36EB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89F5E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0ED0F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393009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607DEF">
            <w:pPr>
              <w:rPr>
                <w:rFonts w:ascii="Times New Roman" w:hAnsi="Times New Roman" w:eastAsia="Times New Roman" w:cs="Times New Roman"/>
                <w:b w:val="0"/>
                <w:bCs w:val="0"/>
                <w:i w:val="0"/>
                <w:iCs w:val="0"/>
                <w:smallCaps w:val="0"/>
                <w:color w:val="000000"/>
                <w:kern w:val="0"/>
                <w:sz w:val="26"/>
                <w:szCs w:val="26"/>
              </w:rPr>
            </w:pPr>
          </w:p>
        </w:tc>
      </w:tr>
      <w:tr w14:paraId="57746A88">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226B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2D6E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0CB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889B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F03D1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6A7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BF27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5E84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686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B77B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69B8CE3">
        <w:tblPrEx>
          <w:tblCellMar>
            <w:top w:w="0" w:type="dxa"/>
            <w:left w:w="108" w:type="dxa"/>
            <w:bottom w:w="0" w:type="dxa"/>
            <w:right w:w="108" w:type="dxa"/>
          </w:tblCellMar>
        </w:tblPrEx>
        <w:trPr>
          <w:cantSplit/>
        </w:trPr>
        <w:tc>
          <w:tcPr>
            <w:tcW w:w="16382" w:type="dxa"/>
            <w:gridSpan w:val="5"/>
            <w:noWrap w:val="0"/>
            <w:tcMar>
              <w:top w:w="20" w:type="dxa"/>
              <w:left w:w="108" w:type="dxa"/>
              <w:bottom w:w="20" w:type="dxa"/>
              <w:right w:w="108" w:type="dxa"/>
            </w:tcMar>
            <w:vAlign w:val="center"/>
          </w:tcPr>
          <w:p w14:paraId="2719779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注：本表反映单位本年度一般公共预算财政拨款支出情况。</w:t>
            </w:r>
          </w:p>
        </w:tc>
      </w:tr>
    </w:tbl>
    <w:p w14:paraId="43761414">
      <w:pPr>
        <w:sectPr>
          <w:footerReference r:id="rId12" w:type="default"/>
          <w:pgSz w:w="16383" w:h="11906" w:orient="landscape"/>
          <w:pgMar w:top="1134" w:right="720" w:bottom="1134" w:left="720" w:header="720" w:footer="720" w:gutter="0"/>
          <w:cols w:space="720" w:num="1"/>
        </w:sectPr>
      </w:pPr>
    </w:p>
    <w:p w14:paraId="3EF3FD28">
      <w:pPr>
        <w:widowControl/>
        <w:jc w:val="left"/>
        <w:rPr>
          <w:rFonts w:ascii="宋体" w:hAnsi="宋体" w:cs="宋体"/>
          <w:spacing w:val="0"/>
          <w:kern w:val="0"/>
          <w:sz w:val="23"/>
          <w:szCs w:val="23"/>
        </w:rPr>
      </w:pPr>
      <w:r>
        <w:rPr>
          <w:rFonts w:ascii="宋体" w:hAnsi="宋体" w:cs="宋体"/>
          <w:spacing w:val="0"/>
          <w:kern w:val="0"/>
          <w:sz w:val="23"/>
          <w:szCs w:val="23"/>
        </w:rPr>
        <w:t> </w:t>
      </w:r>
    </w:p>
    <w:p w14:paraId="0AA7A2E0">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85"/>
      <w:bookmarkStart w:id="62" w:name="_Toc256000010"/>
      <w:bookmarkStart w:id="63" w:name="_Toc256000135"/>
      <w:bookmarkStart w:id="64" w:name="_Toc256000035"/>
      <w:bookmarkStart w:id="65" w:name="_Toc256000060"/>
      <w:bookmarkStart w:id="66" w:name="_Toc256000110"/>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7C02EDE5">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628AC698">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190A5E15">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3537701C">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5C531A3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108436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405B82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21F367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D2895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38368DC5">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41528C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编制单位：仙游县古洋水库管理中心</w:t>
            </w:r>
          </w:p>
        </w:tc>
        <w:tc>
          <w:tcPr>
            <w:tcW w:w="21600" w:type="dxa"/>
            <w:noWrap w:val="0"/>
            <w:tcMar>
              <w:top w:w="20" w:type="dxa"/>
              <w:left w:w="108" w:type="dxa"/>
              <w:bottom w:w="20" w:type="dxa"/>
              <w:right w:w="108" w:type="dxa"/>
            </w:tcMar>
            <w:vAlign w:val="bottom"/>
          </w:tcPr>
          <w:p w14:paraId="72EB784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2CDFD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2E9FA921">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E6F9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5BB99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7D828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A578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47F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C9C4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C0787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73FA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1C6F3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26F2F2FB">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771E15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EEB44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1DEA8D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6CACB8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8D4F6A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021C0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E80BB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6C986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BECB9F">
            <w:pPr>
              <w:rPr>
                <w:rFonts w:ascii="Times New Roman" w:hAnsi="Times New Roman" w:eastAsia="Times New Roman" w:cs="Times New Roman"/>
                <w:b w:val="0"/>
                <w:bCs w:val="0"/>
                <w:i w:val="0"/>
                <w:iCs w:val="0"/>
                <w:smallCaps w:val="0"/>
                <w:color w:val="000000"/>
                <w:kern w:val="0"/>
                <w:sz w:val="26"/>
                <w:szCs w:val="26"/>
              </w:rPr>
            </w:pPr>
          </w:p>
        </w:tc>
      </w:tr>
      <w:tr w14:paraId="28EAB0A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5456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AB3A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969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6143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0ABB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89B9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7B2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7B67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340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A30CD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73F4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CF5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AC7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8ECF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684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AE64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49DC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4973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5BE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C9A06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93E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33D5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F78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8A9C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8F0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255B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44CB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8A8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EA15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DEFD5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B3D4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793A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ED7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382B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C637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2F0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8D6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4FCE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38C3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2FFC1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A6CC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4C4E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5E11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4B3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FD7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31B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FB0F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740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07EC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7B76E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A4C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229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F2BB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A076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F5E6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1FA6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5AAE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1E2F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A4D1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48568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6ED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AE3B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C6D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1D5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F33D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FCFD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5FD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D09C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A78A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47FD3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9ECD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ABE4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41A5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2CB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F517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1929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1313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15EC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8957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4FC6F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809A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BCD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002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87D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6F95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7B3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9AF5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DBBF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AEB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16A0B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2E55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1E06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FED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AD4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30F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87D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A69B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0C57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504F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E390E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FB5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E3E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3FF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70DF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444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1A4A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D6A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582A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2DF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B7296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2BD3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F8A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C61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F75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DE7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99B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5F66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C89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A4E5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1A3FD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C54C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B1A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D22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6F4C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62CA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DD4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1E35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153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8949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F9FC9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4BB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B2E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76E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9257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FC64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718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7D02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38BB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F8E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B5789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AA36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5AA4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5EC8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1E6C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857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BEE0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16DD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D4E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6E56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EE3B6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617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B4B8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713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A761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52C0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744F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0A53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281E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7A44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04E21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4B3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F5AF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0D69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738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4BB6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923C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B727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F212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365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06B7D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0D13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7EA1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1F7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544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8CB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118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7FBA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71B9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C30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F6C7A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6D6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7B2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499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3CB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7C3C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FFC7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02D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6713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A3B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D7D95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5868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C805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AE9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1726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A4B0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D062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450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716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C98C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FBAEE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69B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DA5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1E9F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930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953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D99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D505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2053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7AB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F77F6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B03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5997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C21F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BE48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4551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BC4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54D2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CFB3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447E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D5357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A4AF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60D9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DA3C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7B3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C114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61D6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172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309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6164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B4EE3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9D2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2D2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258E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806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47C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97E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8C03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816D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3471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1BA25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393F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DD3D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4BCF82">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2B94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CB6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A8EADD">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8CCF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528A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A0140">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4F7508A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9051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F2AF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0F4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889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B583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B807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749C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8BE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EE0A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EF03C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C7B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B94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D7AF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CB1C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26A7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2B46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971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EB4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D80D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1FA45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BFC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641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52AC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22C5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242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F6C5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3CD6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52CC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48DF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5EBBE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2DD7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A0FB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EF4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287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735E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E5E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2BA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596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877B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A9791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E6E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8B19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FC6F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3C56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76A8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48FB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A62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3C8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D745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59D86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CAE0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9712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EA65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A8A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4D38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3998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3D45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7D9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5332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87A1E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B3A1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05D0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656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495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BB8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0B8F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2B31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DAC1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40B7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7D24839C">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6F7E7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076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6B58F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5E82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363E0D">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4BA9DB8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注：本表反映单位本年度一般公共预算财政拨款基本支出明细情况。</w:t>
            </w:r>
          </w:p>
        </w:tc>
      </w:tr>
    </w:tbl>
    <w:p w14:paraId="7EF16747">
      <w:pPr>
        <w:sectPr>
          <w:footerReference r:id="rId13" w:type="default"/>
          <w:pgSz w:w="16383" w:h="11906" w:orient="landscape"/>
          <w:pgMar w:top="1134" w:right="720" w:bottom="1134" w:left="720" w:header="720" w:footer="720" w:gutter="0"/>
          <w:cols w:space="720" w:num="1"/>
        </w:sectPr>
      </w:pPr>
    </w:p>
    <w:p w14:paraId="2BE14EC5">
      <w:pPr>
        <w:widowControl/>
        <w:jc w:val="left"/>
        <w:rPr>
          <w:rFonts w:ascii="Times New Roman" w:hAnsi="Times New Roman" w:eastAsia="Times New Roman" w:cs="Times New Roman"/>
          <w:spacing w:val="0"/>
          <w:kern w:val="0"/>
          <w:sz w:val="23"/>
          <w:szCs w:val="23"/>
        </w:rPr>
      </w:pPr>
      <w:r>
        <w:rPr>
          <w:rFonts w:ascii="Times New Roman" w:hAnsi="Times New Roman" w:eastAsia="Times New Roman" w:cs="Times New Roman"/>
          <w:spacing w:val="0"/>
          <w:kern w:val="0"/>
          <w:sz w:val="23"/>
          <w:szCs w:val="23"/>
        </w:rPr>
        <w:t>    </w:t>
      </w:r>
    </w:p>
    <w:p w14:paraId="66EF55E5">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36"/>
      <w:bookmarkStart w:id="68" w:name="_Toc256000086"/>
      <w:bookmarkStart w:id="69" w:name="_Toc256000061"/>
      <w:bookmarkStart w:id="70" w:name="_Toc256000111"/>
      <w:bookmarkStart w:id="71" w:name="_Toc256000136"/>
      <w:bookmarkStart w:id="72" w:name="_Toc256000011"/>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7096C4F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5053"/>
        <w:gridCol w:w="5053"/>
        <w:gridCol w:w="5053"/>
      </w:tblGrid>
      <w:tr w14:paraId="349BBAD0">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20D3A6A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25D921E4">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364E0FA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E6898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59F59669">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545EB2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编制单位：仙游县古洋水库管理中心</w:t>
            </w:r>
          </w:p>
        </w:tc>
        <w:tc>
          <w:tcPr>
            <w:tcW w:w="21600" w:type="dxa"/>
            <w:noWrap w:val="0"/>
            <w:tcMar>
              <w:top w:w="20" w:type="dxa"/>
              <w:left w:w="108" w:type="dxa"/>
              <w:bottom w:w="20" w:type="dxa"/>
              <w:right w:w="108" w:type="dxa"/>
            </w:tcMar>
            <w:vAlign w:val="center"/>
          </w:tcPr>
          <w:p w14:paraId="51379D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9E046F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C91D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434DE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42B0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1288C1F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28ABB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A7DB1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5CC9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663F0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F5C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65CA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D553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2FDD3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A5C5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621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341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CCCB4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F68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D5383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F33C2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E120F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ECF4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41F2A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12C2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39042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C8F3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0DF7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3300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F2E9FF">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1CA8638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0ED85C78">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50F6EE7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14:paraId="58C59C8C">
      <w:pPr>
        <w:sectPr>
          <w:footerReference r:id="rId14" w:type="default"/>
          <w:pgSz w:w="16383" w:h="11906" w:orient="landscape"/>
          <w:pgMar w:top="1134" w:right="720" w:bottom="1134" w:left="720" w:header="720" w:footer="720" w:gutter="0"/>
          <w:cols w:space="720" w:num="1"/>
        </w:sectPr>
      </w:pPr>
    </w:p>
    <w:p w14:paraId="26E665F2">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037"/>
      <w:bookmarkStart w:id="74" w:name="_Toc256000137"/>
      <w:bookmarkStart w:id="75" w:name="_Toc256000112"/>
      <w:bookmarkStart w:id="76" w:name="_Toc256000087"/>
      <w:bookmarkStart w:id="77" w:name="_Toc256000012"/>
      <w:bookmarkStart w:id="78" w:name="_Toc256000062"/>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01DA63B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12F9CC06">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56312BE3">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25CBAC87">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143AE44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650EA28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4D7C76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04B34D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1840BE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67C33F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E29F22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9AD146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70A84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6442FCD4">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3E52D9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编制单位：仙游县古洋水库管理中心</w:t>
            </w:r>
          </w:p>
        </w:tc>
        <w:tc>
          <w:tcPr>
            <w:tcW w:w="21600" w:type="dxa"/>
            <w:noWrap w:val="0"/>
            <w:tcMar>
              <w:top w:w="20" w:type="dxa"/>
              <w:left w:w="108" w:type="dxa"/>
              <w:bottom w:w="20" w:type="dxa"/>
              <w:right w:w="108" w:type="dxa"/>
            </w:tcMar>
            <w:vAlign w:val="bottom"/>
          </w:tcPr>
          <w:p w14:paraId="0D51A56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0B7C4A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592F22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8F36F37">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D4EF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54D2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82A3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73F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82A02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74980C49">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C7F2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DB6D6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11A95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0381084">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52F1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8A5F0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18B8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55A6208">
            <w:pPr>
              <w:rPr>
                <w:rFonts w:ascii="Times New Roman" w:hAnsi="Times New Roman" w:eastAsia="Times New Roman" w:cs="Times New Roman"/>
                <w:b w:val="0"/>
                <w:bCs w:val="0"/>
                <w:i w:val="0"/>
                <w:iCs w:val="0"/>
                <w:smallCaps w:val="0"/>
                <w:color w:val="000000"/>
                <w:kern w:val="0"/>
                <w:sz w:val="26"/>
                <w:szCs w:val="26"/>
              </w:rPr>
            </w:pPr>
          </w:p>
        </w:tc>
      </w:tr>
      <w:tr w14:paraId="2B458E13">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23FE2D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9F2E49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F4221F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26E76E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3F631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D6E529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1A5D3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29AC60">
            <w:pPr>
              <w:rPr>
                <w:rFonts w:ascii="Times New Roman" w:hAnsi="Times New Roman" w:eastAsia="Times New Roman" w:cs="Times New Roman"/>
                <w:b w:val="0"/>
                <w:bCs w:val="0"/>
                <w:i w:val="0"/>
                <w:iCs w:val="0"/>
                <w:smallCaps w:val="0"/>
                <w:color w:val="000000"/>
                <w:kern w:val="0"/>
                <w:sz w:val="26"/>
                <w:szCs w:val="26"/>
              </w:rPr>
            </w:pPr>
          </w:p>
        </w:tc>
      </w:tr>
      <w:tr w14:paraId="0D84C868">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A39F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988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C26D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DE2A6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8255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8AA41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876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8D01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A9E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C7B8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1BBF591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5D536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71E48D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F3FE9A">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FF48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F62C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D950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C273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644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6C0D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7483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E6569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BBAE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B601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C5A9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B25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18EB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9B9C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1E71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96D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CC61A97">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401CA6A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1C368250">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3DD77D5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2.本单位2024年度没有使用政府性基金预算财政拨款安排的收支</w:t>
            </w:r>
          </w:p>
        </w:tc>
      </w:tr>
    </w:tbl>
    <w:p w14:paraId="4351811D">
      <w:pPr>
        <w:sectPr>
          <w:footerReference r:id="rId15" w:type="default"/>
          <w:pgSz w:w="16383" w:h="11906" w:orient="landscape"/>
          <w:pgMar w:top="1134" w:right="720" w:bottom="1134" w:left="720" w:header="720" w:footer="720" w:gutter="0"/>
          <w:cols w:space="720" w:num="1"/>
        </w:sectPr>
      </w:pPr>
    </w:p>
    <w:p w14:paraId="071B5426">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r>
        <w:rPr>
          <w:rFonts w:ascii="黑体" w:hAnsi="黑体" w:eastAsia="黑体" w:cs="黑体"/>
          <w:spacing w:val="0"/>
          <w:kern w:val="0"/>
          <w:sz w:val="32"/>
          <w:szCs w:val="32"/>
        </w:rPr>
        <w:t>九、国有资本经营预算财政拨款支出决算表</w:t>
      </w:r>
    </w:p>
    <w:p w14:paraId="2F2E250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20"/>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52982635">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5D32D9E7">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7B596515">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6CC69B5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242ECE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2851E9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8FD08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186AEE86">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537C78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编制单位：仙游县古洋水库管理中心</w:t>
            </w:r>
          </w:p>
        </w:tc>
        <w:tc>
          <w:tcPr>
            <w:tcW w:w="21600" w:type="dxa"/>
            <w:noWrap w:val="0"/>
            <w:tcMar>
              <w:top w:w="20" w:type="dxa"/>
              <w:left w:w="108" w:type="dxa"/>
              <w:bottom w:w="20" w:type="dxa"/>
              <w:right w:w="108" w:type="dxa"/>
            </w:tcMar>
            <w:vAlign w:val="center"/>
          </w:tcPr>
          <w:p w14:paraId="696ED2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8084058">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F59E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C75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3BF9168F">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4955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EEDB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C3F63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F266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B24AD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3C7871CF">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5A32C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F06C9D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22E3F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63AA9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1EC2EC">
            <w:pPr>
              <w:rPr>
                <w:rFonts w:ascii="Times New Roman" w:hAnsi="Times New Roman" w:eastAsia="Times New Roman" w:cs="Times New Roman"/>
                <w:b w:val="0"/>
                <w:bCs w:val="0"/>
                <w:i w:val="0"/>
                <w:iCs w:val="0"/>
                <w:smallCaps w:val="0"/>
                <w:color w:val="000000"/>
                <w:kern w:val="0"/>
                <w:sz w:val="26"/>
                <w:szCs w:val="26"/>
              </w:rPr>
            </w:pPr>
          </w:p>
        </w:tc>
      </w:tr>
      <w:tr w14:paraId="4DB8941E">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A81F9B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D6F63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1CB4D3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0D4127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7FD6B35">
            <w:pPr>
              <w:rPr>
                <w:rFonts w:ascii="Times New Roman" w:hAnsi="Times New Roman" w:eastAsia="Times New Roman" w:cs="Times New Roman"/>
                <w:b w:val="0"/>
                <w:bCs w:val="0"/>
                <w:i w:val="0"/>
                <w:iCs w:val="0"/>
                <w:smallCaps w:val="0"/>
                <w:color w:val="000000"/>
                <w:kern w:val="0"/>
                <w:sz w:val="26"/>
                <w:szCs w:val="26"/>
              </w:rPr>
            </w:pPr>
          </w:p>
        </w:tc>
      </w:tr>
      <w:tr w14:paraId="2322E20E">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788C8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0B4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0D33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3473B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41614898">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7C0D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C31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B2A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545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CA34D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C56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A52E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CB3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6C23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AF8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732BED55">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35B3B76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0F4B3269">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3A61FF3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564CB760">
      <w:pPr>
        <w:sectPr>
          <w:footerReference r:id="rId16" w:type="default"/>
          <w:pgSz w:w="16383" w:h="11906" w:orient="landscape"/>
          <w:pgMar w:top="1134" w:right="720" w:bottom="1134" w:left="720" w:header="720" w:footer="720" w:gutter="0"/>
          <w:cols w:space="720" w:num="1"/>
        </w:sectPr>
      </w:pPr>
    </w:p>
    <w:p w14:paraId="4A2A45DF">
      <w:pPr>
        <w:pStyle w:val="30"/>
        <w:widowControl/>
        <w:spacing w:before="240" w:after="240"/>
        <w:jc w:val="left"/>
        <w:rPr>
          <w:rFonts w:ascii="Times New Roman" w:hAnsi="Times New Roman" w:eastAsia="Times New Roman" w:cs="Times New Roman"/>
          <w:kern w:val="0"/>
          <w:sz w:val="24"/>
        </w:rPr>
      </w:pPr>
    </w:p>
    <w:p w14:paraId="2E4B82CD">
      <w:pPr>
        <w:pStyle w:val="30"/>
        <w:widowControl/>
        <w:spacing w:before="240" w:after="240"/>
        <w:jc w:val="left"/>
        <w:rPr>
          <w:rFonts w:ascii="Times New Roman" w:hAnsi="Times New Roman" w:eastAsia="Times New Roman" w:cs="Times New Roman"/>
          <w:kern w:val="0"/>
          <w:sz w:val="24"/>
        </w:rPr>
      </w:pPr>
    </w:p>
    <w:p w14:paraId="5CD784A4">
      <w:pPr>
        <w:pStyle w:val="30"/>
        <w:widowControl/>
        <w:spacing w:before="240" w:after="240"/>
        <w:jc w:val="left"/>
        <w:rPr>
          <w:rFonts w:ascii="Times New Roman" w:hAnsi="Times New Roman" w:eastAsia="Times New Roman" w:cs="Times New Roman"/>
          <w:kern w:val="0"/>
          <w:sz w:val="24"/>
        </w:rPr>
      </w:pPr>
    </w:p>
    <w:p w14:paraId="052590C4">
      <w:pPr>
        <w:pStyle w:val="30"/>
        <w:widowControl/>
        <w:spacing w:before="240" w:after="240"/>
        <w:jc w:val="left"/>
        <w:rPr>
          <w:rFonts w:ascii="Times New Roman" w:hAnsi="Times New Roman" w:eastAsia="Times New Roman" w:cs="Times New Roman"/>
          <w:kern w:val="0"/>
          <w:sz w:val="24"/>
        </w:rPr>
      </w:pPr>
    </w:p>
    <w:p w14:paraId="1B414AB2">
      <w:pPr>
        <w:pStyle w:val="30"/>
        <w:widowControl/>
        <w:spacing w:before="240" w:after="240"/>
        <w:jc w:val="left"/>
        <w:rPr>
          <w:rFonts w:ascii="Times New Roman" w:hAnsi="Times New Roman" w:eastAsia="Times New Roman" w:cs="Times New Roman"/>
          <w:kern w:val="0"/>
          <w:sz w:val="24"/>
        </w:rPr>
      </w:pPr>
    </w:p>
    <w:p w14:paraId="16AB1949">
      <w:pPr>
        <w:pStyle w:val="30"/>
        <w:widowControl/>
        <w:spacing w:before="240" w:after="240"/>
        <w:jc w:val="left"/>
        <w:rPr>
          <w:rFonts w:ascii="Times New Roman" w:hAnsi="Times New Roman" w:eastAsia="Times New Roman" w:cs="Times New Roman"/>
          <w:kern w:val="0"/>
          <w:sz w:val="24"/>
        </w:rPr>
      </w:pPr>
    </w:p>
    <w:p w14:paraId="14572049">
      <w:pPr>
        <w:pStyle w:val="30"/>
        <w:widowControl/>
        <w:spacing w:before="240" w:after="240"/>
        <w:jc w:val="left"/>
        <w:rPr>
          <w:rFonts w:ascii="Times New Roman" w:hAnsi="Times New Roman" w:eastAsia="Times New Roman" w:cs="Times New Roman"/>
          <w:kern w:val="0"/>
          <w:sz w:val="24"/>
        </w:rPr>
      </w:pPr>
    </w:p>
    <w:p w14:paraId="7CF9CE5E">
      <w:pPr>
        <w:pStyle w:val="30"/>
        <w:widowControl/>
        <w:spacing w:before="240" w:after="240"/>
        <w:jc w:val="left"/>
        <w:rPr>
          <w:rFonts w:ascii="Times New Roman" w:hAnsi="Times New Roman" w:eastAsia="Times New Roman" w:cs="Times New Roman"/>
          <w:kern w:val="0"/>
          <w:sz w:val="24"/>
        </w:rPr>
      </w:pPr>
    </w:p>
    <w:p w14:paraId="2E6362F7">
      <w:pPr>
        <w:pStyle w:val="30"/>
        <w:widowControl/>
        <w:spacing w:before="240" w:after="240"/>
        <w:jc w:val="left"/>
        <w:rPr>
          <w:rFonts w:ascii="Times New Roman" w:hAnsi="Times New Roman" w:eastAsia="Times New Roman" w:cs="Times New Roman"/>
          <w:kern w:val="0"/>
          <w:sz w:val="24"/>
        </w:rPr>
      </w:pPr>
    </w:p>
    <w:p w14:paraId="65360EF1">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79" w:name="_Toc256000113"/>
      <w:bookmarkStart w:id="80" w:name="_Toc256000088"/>
      <w:bookmarkStart w:id="81" w:name="_Toc256000038"/>
      <w:bookmarkStart w:id="82" w:name="_Toc256000138"/>
      <w:bookmarkStart w:id="83" w:name="_Toc256000013"/>
      <w:bookmarkStart w:id="84" w:name="_Toc256000063"/>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79"/>
      <w:bookmarkEnd w:id="80"/>
      <w:bookmarkEnd w:id="81"/>
      <w:bookmarkEnd w:id="82"/>
      <w:bookmarkEnd w:id="83"/>
      <w:bookmarkEnd w:id="84"/>
    </w:p>
    <w:p w14:paraId="0ED7445B">
      <w:pPr>
        <w:sectPr>
          <w:footerReference r:id="rId17" w:type="default"/>
          <w:pgSz w:w="11906" w:h="16838"/>
          <w:pgMar w:top="1440" w:right="720" w:bottom="1440" w:left="720" w:header="720" w:footer="720" w:gutter="0"/>
          <w:cols w:space="720" w:num="1"/>
        </w:sectPr>
      </w:pPr>
    </w:p>
    <w:p w14:paraId="5E7F378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508459A">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85" w:name="_Toc256000114"/>
      <w:bookmarkStart w:id="86" w:name="_Toc256000014"/>
      <w:bookmarkStart w:id="87" w:name="_Toc256000139"/>
      <w:bookmarkStart w:id="88" w:name="_Toc256000039"/>
      <w:bookmarkStart w:id="89" w:name="_Toc256000089"/>
      <w:bookmarkStart w:id="90" w:name="_Toc256000064"/>
      <w:r>
        <w:rPr>
          <w:rFonts w:ascii="黑体" w:hAnsi="黑体" w:eastAsia="黑体" w:cs="黑体"/>
          <w:b w:val="0"/>
          <w:bCs w:val="0"/>
          <w:spacing w:val="0"/>
        </w:rPr>
        <w:t>一、收入支出决算总体情况说明</w:t>
      </w:r>
      <w:bookmarkEnd w:id="85"/>
      <w:bookmarkEnd w:id="86"/>
      <w:bookmarkEnd w:id="87"/>
      <w:bookmarkEnd w:id="88"/>
      <w:bookmarkEnd w:id="89"/>
      <w:bookmarkEnd w:id="90"/>
    </w:p>
    <w:p w14:paraId="77E778D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465981EE">
      <w:pPr>
        <w:pStyle w:val="30"/>
        <w:widowControl/>
        <w:spacing w:before="100" w:after="100" w:line="560" w:lineRule="atLeast"/>
        <w:ind w:left="100" w:right="100" w:firstLine="640"/>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2024年度本单位收入总计233.60万元，支出总计233.60万元，与上年决算数相比，各减少22.77万元，各</w:t>
      </w:r>
      <w:r>
        <w:rPr>
          <w:rFonts w:ascii="仿宋_GB2312" w:hAnsi="仿宋_GB2312" w:eastAsia="仿宋_GB2312" w:cs="仿宋_GB2312"/>
          <w:kern w:val="0"/>
          <w:sz w:val="32"/>
          <w:szCs w:val="32"/>
        </w:rPr>
        <w:t>下降</w:t>
      </w:r>
      <w:r>
        <w:rPr>
          <w:rFonts w:ascii="仿宋_GB2312" w:hAnsi="仿宋_GB2312" w:eastAsia="仿宋_GB2312" w:cs="仿宋_GB2312"/>
          <w:spacing w:val="0"/>
          <w:kern w:val="0"/>
          <w:sz w:val="32"/>
          <w:szCs w:val="32"/>
        </w:rPr>
        <w:t>8.88%。主要是</w:t>
      </w:r>
      <w:r>
        <w:rPr>
          <w:rFonts w:hint="eastAsia" w:ascii="仿宋_GB2312" w:hAnsi="仿宋_GB2312" w:eastAsia="仿宋_GB2312" w:cs="仿宋_GB2312"/>
          <w:spacing w:val="0"/>
          <w:kern w:val="0"/>
          <w:sz w:val="32"/>
          <w:szCs w:val="32"/>
          <w:lang w:val="en-US" w:eastAsia="zh-CN"/>
        </w:rPr>
        <w:t>原水费收入下降。</w:t>
      </w:r>
    </w:p>
    <w:p w14:paraId="40BB2C5C">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2CF876D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2024年度收入233.60万元，比上年决算数</w:t>
      </w:r>
      <w:r>
        <w:rPr>
          <w:rFonts w:ascii="仿宋_GB2312" w:hAnsi="仿宋_GB2312" w:eastAsia="仿宋_GB2312" w:cs="仿宋_GB2312"/>
          <w:kern w:val="0"/>
          <w:sz w:val="32"/>
          <w:szCs w:val="32"/>
        </w:rPr>
        <w:t>减少</w:t>
      </w:r>
      <w:r>
        <w:rPr>
          <w:rFonts w:ascii="仿宋_GB2312" w:hAnsi="仿宋_GB2312" w:eastAsia="仿宋_GB2312" w:cs="仿宋_GB2312"/>
          <w:spacing w:val="0"/>
          <w:kern w:val="0"/>
          <w:sz w:val="32"/>
          <w:szCs w:val="32"/>
        </w:rPr>
        <w:t>22.77万元，</w:t>
      </w:r>
      <w:r>
        <w:rPr>
          <w:rFonts w:ascii="仿宋_GB2312" w:hAnsi="仿宋_GB2312" w:eastAsia="仿宋_GB2312" w:cs="仿宋_GB2312"/>
          <w:kern w:val="0"/>
          <w:sz w:val="32"/>
          <w:szCs w:val="32"/>
        </w:rPr>
        <w:t>下降</w:t>
      </w:r>
      <w:r>
        <w:rPr>
          <w:rFonts w:ascii="仿宋_GB2312" w:hAnsi="仿宋_GB2312" w:eastAsia="仿宋_GB2312" w:cs="仿宋_GB2312"/>
          <w:spacing w:val="0"/>
          <w:kern w:val="0"/>
          <w:sz w:val="32"/>
          <w:szCs w:val="32"/>
        </w:rPr>
        <w:t>8.88%，具体情况如下：</w:t>
      </w:r>
    </w:p>
    <w:p w14:paraId="435E3DAD">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1.一般公共预算财政拨款收入0万元。</w:t>
      </w:r>
    </w:p>
    <w:p w14:paraId="3928A31C">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14:paraId="7B221BA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006634B8">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00ADB42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5.事业收入233.60万元。</w:t>
      </w:r>
    </w:p>
    <w:p w14:paraId="133B3A5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1FA7417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66C2729F">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012EE218">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439DE1F2">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2024年度支出233.60万元，比上年决算数减少22.77万元，下降8.88%，具体情况如下：</w:t>
      </w:r>
    </w:p>
    <w:p w14:paraId="4BE5D6EB">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1.基本支出233.60万元。其中，人员支出223.31万元，公用支出10.28万元。</w:t>
      </w:r>
    </w:p>
    <w:p w14:paraId="0CE250DF">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14:paraId="5AA060E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01D1A4C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165BA06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3B428FE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040"/>
      <w:bookmarkStart w:id="92" w:name="_Toc256000015"/>
      <w:bookmarkStart w:id="93" w:name="_Toc256000140"/>
      <w:bookmarkStart w:id="94" w:name="_Toc256000090"/>
      <w:bookmarkStart w:id="95" w:name="_Toc256000065"/>
      <w:bookmarkStart w:id="96" w:name="_Toc256000115"/>
      <w:r>
        <w:rPr>
          <w:rFonts w:ascii="黑体" w:hAnsi="黑体" w:eastAsia="黑体" w:cs="黑体"/>
          <w:b w:val="0"/>
          <w:bCs w:val="0"/>
          <w:spacing w:val="0"/>
        </w:rPr>
        <w:t>二、财政拨款收入支出决算总体情况说明</w:t>
      </w:r>
      <w:bookmarkEnd w:id="91"/>
      <w:bookmarkEnd w:id="92"/>
      <w:bookmarkEnd w:id="93"/>
      <w:bookmarkEnd w:id="94"/>
      <w:bookmarkEnd w:id="95"/>
      <w:bookmarkEnd w:id="96"/>
    </w:p>
    <w:p w14:paraId="71080611">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2024年度财政拨款收入总计0万元，支出总计0万元，与上年决算数相比，各增加0万元，增长0%</w:t>
      </w:r>
      <w:r>
        <w:rPr>
          <w:rFonts w:hint="eastAsia" w:ascii="仿宋_GB2312" w:hAnsi="仿宋_GB2312" w:eastAsia="仿宋_GB2312" w:cs="仿宋_GB2312"/>
          <w:spacing w:val="0"/>
          <w:kern w:val="0"/>
          <w:sz w:val="32"/>
          <w:szCs w:val="32"/>
          <w:lang w:eastAsia="zh-CN"/>
        </w:rPr>
        <w:t>。</w:t>
      </w:r>
    </w:p>
    <w:p w14:paraId="3A33029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7" w:name="_Toc256000116"/>
      <w:bookmarkStart w:id="98" w:name="_Toc256000041"/>
      <w:bookmarkStart w:id="99" w:name="_Toc256000141"/>
      <w:bookmarkStart w:id="100" w:name="_Toc256000016"/>
      <w:bookmarkStart w:id="101" w:name="_Toc256000066"/>
      <w:bookmarkStart w:id="102" w:name="_Toc256000091"/>
      <w:r>
        <w:rPr>
          <w:rFonts w:ascii="黑体" w:hAnsi="黑体" w:eastAsia="黑体" w:cs="黑体"/>
          <w:b w:val="0"/>
          <w:bCs w:val="0"/>
          <w:spacing w:val="0"/>
        </w:rPr>
        <w:t>三、一般公共预算财政拨款支出决算情况说明</w:t>
      </w:r>
      <w:bookmarkEnd w:id="97"/>
      <w:bookmarkEnd w:id="98"/>
      <w:bookmarkEnd w:id="99"/>
      <w:bookmarkEnd w:id="100"/>
      <w:bookmarkEnd w:id="101"/>
      <w:bookmarkEnd w:id="102"/>
    </w:p>
    <w:p w14:paraId="7F85A7E3">
      <w:pPr>
        <w:pStyle w:val="30"/>
        <w:widowControl/>
        <w:spacing w:before="100" w:after="100" w:line="560" w:lineRule="atLeast"/>
        <w:ind w:left="100"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2024年一般公共预算财政拨款支出0万元，比上年决算数增加0万元，增长0%，</w:t>
      </w:r>
      <w:r>
        <w:rPr>
          <w:rFonts w:ascii="仿宋_GB2312" w:hAnsi="仿宋_GB2312" w:eastAsia="仿宋_GB2312" w:cs="仿宋_GB2312"/>
          <w:kern w:val="0"/>
          <w:sz w:val="32"/>
          <w:szCs w:val="32"/>
        </w:rPr>
        <w:t>本单位2024年度没有使用一般公共预算财政拨款安排的支出。</w:t>
      </w:r>
    </w:p>
    <w:p w14:paraId="73D9E40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42"/>
      <w:bookmarkStart w:id="104" w:name="_Toc256000067"/>
      <w:bookmarkStart w:id="105" w:name="_Toc256000142"/>
      <w:bookmarkStart w:id="106" w:name="_Toc256000017"/>
      <w:bookmarkStart w:id="107" w:name="_Toc256000117"/>
      <w:bookmarkStart w:id="108" w:name="_Toc256000092"/>
      <w:r>
        <w:rPr>
          <w:rFonts w:ascii="黑体" w:hAnsi="黑体" w:eastAsia="黑体" w:cs="黑体"/>
          <w:b w:val="0"/>
          <w:bCs w:val="0"/>
          <w:spacing w:val="0"/>
        </w:rPr>
        <w:t>四、政府性基金预算财政拨款支出决算情况说明</w:t>
      </w:r>
      <w:bookmarkEnd w:id="103"/>
      <w:bookmarkEnd w:id="104"/>
      <w:bookmarkEnd w:id="105"/>
      <w:bookmarkEnd w:id="106"/>
      <w:bookmarkEnd w:id="107"/>
      <w:bookmarkEnd w:id="108"/>
    </w:p>
    <w:p w14:paraId="42C40EC0">
      <w:pPr>
        <w:pStyle w:val="30"/>
        <w:widowControl/>
        <w:spacing w:before="100" w:after="100" w:line="560" w:lineRule="atLeast"/>
        <w:ind w:left="100"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2024年度政府性基金支出0万元，比上年决算数增加0万元，</w:t>
      </w:r>
      <w:r>
        <w:rPr>
          <w:rFonts w:ascii="仿宋_GB2312" w:hAnsi="仿宋_GB2312" w:eastAsia="仿宋_GB2312" w:cs="仿宋_GB2312"/>
          <w:kern w:val="0"/>
          <w:sz w:val="32"/>
          <w:szCs w:val="32"/>
        </w:rPr>
        <w:t>本单位2024年度没有使用政府性基金预算财政拨款安排的支出。</w:t>
      </w:r>
    </w:p>
    <w:p w14:paraId="0FACCCA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43"/>
      <w:bookmarkStart w:id="110" w:name="_Toc256000093"/>
      <w:bookmarkStart w:id="111" w:name="_Toc256000143"/>
      <w:bookmarkStart w:id="112" w:name="_Toc256000068"/>
      <w:bookmarkStart w:id="113" w:name="_Toc256000018"/>
      <w:bookmarkStart w:id="114" w:name="_Toc256000118"/>
      <w:r>
        <w:rPr>
          <w:rFonts w:ascii="黑体" w:hAnsi="黑体" w:eastAsia="黑体" w:cs="黑体"/>
          <w:b w:val="0"/>
          <w:bCs w:val="0"/>
          <w:spacing w:val="0"/>
        </w:rPr>
        <w:t>五、国有资本经营预算财政拨款支出决算情况说明</w:t>
      </w:r>
      <w:bookmarkEnd w:id="109"/>
      <w:bookmarkEnd w:id="110"/>
      <w:bookmarkEnd w:id="111"/>
      <w:bookmarkEnd w:id="112"/>
      <w:bookmarkEnd w:id="113"/>
      <w:bookmarkEnd w:id="114"/>
    </w:p>
    <w:p w14:paraId="03BD01E5">
      <w:pPr>
        <w:pStyle w:val="30"/>
        <w:widowControl/>
        <w:spacing w:before="100" w:after="100" w:line="560" w:lineRule="atLeast"/>
        <w:ind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2024年度国有资本经营预算支出0万元，比上年决算数增加0万元，</w:t>
      </w:r>
      <w:r>
        <w:rPr>
          <w:rFonts w:ascii="仿宋_GB2312" w:hAnsi="仿宋_GB2312" w:eastAsia="仿宋_GB2312" w:cs="仿宋_GB2312"/>
          <w:kern w:val="0"/>
          <w:sz w:val="32"/>
          <w:szCs w:val="32"/>
        </w:rPr>
        <w:t>本单位2024年度没有使用国有资本经营预算财政拨款安排的支出。</w:t>
      </w:r>
    </w:p>
    <w:p w14:paraId="028E3E3D">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069"/>
      <w:bookmarkStart w:id="116" w:name="_Toc256000094"/>
      <w:bookmarkStart w:id="117" w:name="_Toc256000019"/>
      <w:bookmarkStart w:id="118" w:name="_Toc256000044"/>
      <w:bookmarkStart w:id="119" w:name="_Toc256000119"/>
      <w:bookmarkStart w:id="120" w:name="_Toc256000144"/>
      <w:r>
        <w:rPr>
          <w:rFonts w:ascii="黑体" w:hAnsi="黑体" w:eastAsia="黑体" w:cs="黑体"/>
          <w:b w:val="0"/>
          <w:bCs w:val="0"/>
          <w:spacing w:val="0"/>
        </w:rPr>
        <w:t>六、一般公共预算财政拨款基本支出决算情况说明</w:t>
      </w:r>
      <w:bookmarkEnd w:id="115"/>
      <w:bookmarkEnd w:id="116"/>
      <w:bookmarkEnd w:id="117"/>
      <w:bookmarkEnd w:id="118"/>
      <w:bookmarkEnd w:id="119"/>
      <w:bookmarkEnd w:id="120"/>
    </w:p>
    <w:p w14:paraId="11C599C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2024年度一般公共预算财政拨款基本支出0万元，其中：</w:t>
      </w:r>
    </w:p>
    <w:p w14:paraId="1AA1DE8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0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B94A1AC">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46D580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095"/>
      <w:bookmarkStart w:id="122" w:name="_Toc256000045"/>
      <w:bookmarkStart w:id="123" w:name="_Toc256000145"/>
      <w:bookmarkStart w:id="124" w:name="_Toc256000120"/>
      <w:bookmarkStart w:id="125" w:name="_Toc256000020"/>
      <w:bookmarkStart w:id="126" w:name="_Toc256000070"/>
      <w:r>
        <w:rPr>
          <w:rFonts w:ascii="黑体" w:hAnsi="黑体" w:eastAsia="黑体" w:cs="黑体"/>
          <w:b w:val="0"/>
          <w:bCs w:val="0"/>
          <w:spacing w:val="0"/>
        </w:rPr>
        <w:t>七、一般公共预算拨款“三公”经费支出决算情况说明</w:t>
      </w:r>
      <w:bookmarkEnd w:id="121"/>
      <w:bookmarkEnd w:id="122"/>
      <w:bookmarkEnd w:id="123"/>
      <w:bookmarkEnd w:id="124"/>
      <w:bookmarkEnd w:id="125"/>
      <w:bookmarkEnd w:id="126"/>
    </w:p>
    <w:p w14:paraId="157ABBA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2024年度一般公共预算拨款“三公”经费支出0万元，完成全年预算的0%；较上年增加0万元，增长0%。主要原因是</w:t>
      </w:r>
      <w:r>
        <w:rPr>
          <w:rFonts w:hint="eastAsia" w:ascii="仿宋" w:hAnsi="仿宋" w:eastAsia="仿宋" w:cs="仿宋_GB2312"/>
          <w:sz w:val="32"/>
          <w:szCs w:val="32"/>
        </w:rPr>
        <w:t>无</w:t>
      </w:r>
      <w:r>
        <w:rPr>
          <w:rFonts w:ascii="仿宋" w:hAnsi="仿宋" w:eastAsia="仿宋" w:cs="仿宋_GB2312"/>
          <w:sz w:val="32"/>
          <w:szCs w:val="32"/>
        </w:rPr>
        <w:t>三公经费支出</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079B9E3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（一）因公出国（境）费支出0万元，完成全年预算的0%；较上年增加0万元，增长0%。全年安排本单位组织的出国团组0个，参加其他单位出国团组个；全年因公出国（境）累计0 人次。与上年决算持平。</w:t>
      </w:r>
    </w:p>
    <w:p w14:paraId="17D00C4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（二）公务用车购置及运行费支出0万元，完成全年预算的0%；较上年</w:t>
      </w:r>
      <w:r>
        <w:rPr>
          <w:rFonts w:ascii="仿宋_GB2312" w:hAnsi="仿宋_GB2312" w:eastAsia="仿宋_GB2312" w:cs="仿宋_GB2312"/>
          <w:kern w:val="0"/>
          <w:sz w:val="32"/>
          <w:szCs w:val="32"/>
        </w:rPr>
        <w:t>增加0万元，增长0%。其中：</w:t>
      </w:r>
    </w:p>
    <w:p w14:paraId="3581CAA8">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公务用车购置费支出0万元，完成全年预算的0%；较上年增加0万元，增长0%。2024年公务用车购置0辆，</w:t>
      </w:r>
      <w:r>
        <w:rPr>
          <w:rFonts w:ascii="仿宋_GB2312" w:hAnsi="仿宋_GB2312" w:eastAsia="仿宋_GB2312" w:cs="仿宋_GB2312"/>
          <w:kern w:val="0"/>
          <w:sz w:val="32"/>
          <w:szCs w:val="32"/>
        </w:rPr>
        <w:t>与上年决算持平。</w:t>
      </w:r>
    </w:p>
    <w:p w14:paraId="10FDF09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公务用车运行费支出0万元，完成全年预算的0%；较上年增加0万元，增长0%。</w:t>
      </w:r>
      <w:r>
        <w:rPr>
          <w:rFonts w:ascii="仿宋_GB2312" w:hAnsi="仿宋_GB2312" w:eastAsia="仿宋_GB2312" w:cs="仿宋_GB2312"/>
          <w:kern w:val="0"/>
          <w:sz w:val="32"/>
          <w:szCs w:val="32"/>
        </w:rPr>
        <w:t>与上年决算持平。</w:t>
      </w:r>
      <w:r>
        <w:rPr>
          <w:rFonts w:ascii="仿宋_GB2312" w:hAnsi="仿宋_GB2312" w:eastAsia="仿宋_GB2312" w:cs="仿宋_GB2312"/>
          <w:spacing w:val="0"/>
          <w:kern w:val="0"/>
          <w:sz w:val="32"/>
          <w:szCs w:val="32"/>
        </w:rPr>
        <w:t>截至2024年12月31日，本单位公务用车保有量为0辆。</w:t>
      </w:r>
    </w:p>
    <w:p w14:paraId="3C826D9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（三）公务接待费支出0万元，完成全年预算的 0%；较上年增加0万元，增长0%。与上年决算持平。累计接待0批次、0人次。</w:t>
      </w:r>
    </w:p>
    <w:p w14:paraId="76946CCE">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096"/>
      <w:bookmarkStart w:id="128" w:name="_Toc256000071"/>
      <w:bookmarkStart w:id="129" w:name="_Toc256000046"/>
      <w:bookmarkStart w:id="130" w:name="_Toc256000021"/>
      <w:bookmarkStart w:id="131" w:name="_Toc256000121"/>
      <w:bookmarkStart w:id="132" w:name="_Toc256000146"/>
      <w:r>
        <w:rPr>
          <w:rFonts w:ascii="黑体" w:hAnsi="黑体" w:eastAsia="黑体" w:cs="黑体"/>
          <w:b w:val="0"/>
          <w:bCs w:val="0"/>
          <w:spacing w:val="0"/>
        </w:rPr>
        <w:t>八、预算绩效情况说明</w:t>
      </w:r>
      <w:bookmarkEnd w:id="127"/>
      <w:bookmarkEnd w:id="128"/>
      <w:bookmarkEnd w:id="129"/>
      <w:bookmarkEnd w:id="130"/>
      <w:bookmarkEnd w:id="131"/>
      <w:bookmarkEnd w:id="132"/>
    </w:p>
    <w:p w14:paraId="5060D086">
      <w:pPr>
        <w:pStyle w:val="5"/>
        <w:keepNext w:val="0"/>
        <w:keepLines w:val="0"/>
        <w:spacing w:before="100" w:after="100" w:line="560" w:lineRule="atLeast"/>
        <w:ind w:left="100" w:right="100" w:firstLine="640" w:firstLineChars="0"/>
        <w:rPr>
          <w:rFonts w:hint="eastAsia" w:ascii="仿宋" w:hAnsi="仿宋" w:eastAsia="仿宋" w:cs="仿宋_GB2312"/>
          <w:sz w:val="32"/>
          <w:szCs w:val="32"/>
        </w:rPr>
      </w:pPr>
      <w:bookmarkStart w:id="133" w:name="_Toc256000022"/>
      <w:bookmarkStart w:id="134" w:name="_Toc256000097"/>
      <w:bookmarkStart w:id="135" w:name="_Toc256000047"/>
      <w:bookmarkStart w:id="136" w:name="_Toc256000122"/>
      <w:bookmarkStart w:id="137" w:name="_Toc256000147"/>
      <w:bookmarkStart w:id="138" w:name="_Toc256000072"/>
      <w:r>
        <w:rPr>
          <w:rFonts w:hint="eastAsia" w:ascii="仿宋" w:hAnsi="仿宋" w:eastAsia="仿宋" w:cs="仿宋_GB2312"/>
          <w:sz w:val="32"/>
          <w:szCs w:val="32"/>
        </w:rPr>
        <w:t>本年度本单位无单位自评项目。</w:t>
      </w:r>
    </w:p>
    <w:p w14:paraId="7184FC3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九、其他重要事项说明</w:t>
      </w:r>
      <w:bookmarkEnd w:id="133"/>
      <w:bookmarkEnd w:id="134"/>
      <w:bookmarkEnd w:id="135"/>
      <w:bookmarkEnd w:id="136"/>
      <w:bookmarkEnd w:id="137"/>
      <w:bookmarkEnd w:id="138"/>
    </w:p>
    <w:p w14:paraId="1B84771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54098A3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2024年度机关运行经费支出0万元，比上年决算数增加0万元，增长0%，</w:t>
      </w:r>
      <w:r>
        <w:rPr>
          <w:rFonts w:ascii="仿宋_GB2312" w:hAnsi="仿宋_GB2312" w:eastAsia="仿宋_GB2312" w:cs="仿宋_GB2312"/>
          <w:kern w:val="0"/>
          <w:sz w:val="32"/>
          <w:szCs w:val="32"/>
        </w:rPr>
        <w:t>本单位为事业单位没有机关运行经费。</w:t>
      </w:r>
    </w:p>
    <w:p w14:paraId="7EFFDFB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（二）政府采购情况</w:t>
      </w:r>
    </w:p>
    <w:p w14:paraId="62B6DDD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本单位2024年度政府采购支出总额0万元，</w:t>
      </w:r>
      <w:r>
        <w:rPr>
          <w:rFonts w:ascii="仿宋_GB2312" w:hAnsi="仿宋_GB2312" w:eastAsia="仿宋_GB2312" w:cs="仿宋_GB2312"/>
          <w:kern w:val="0"/>
          <w:sz w:val="32"/>
          <w:szCs w:val="32"/>
        </w:rPr>
        <w:t>本单位2024年度没有政府采购支出。</w:t>
      </w:r>
    </w:p>
    <w:p w14:paraId="700626C5">
      <w:pPr>
        <w:pStyle w:val="30"/>
        <w:widowControl/>
        <w:spacing w:before="100" w:after="100" w:line="560" w:lineRule="atLeast"/>
        <w:ind w:left="100" w:right="100" w:firstLine="640"/>
        <w:jc w:val="left"/>
        <w:rPr>
          <w:rFonts w:ascii="Times New Roman" w:hAnsi="Times New Roman" w:eastAsia="Times New Roman" w:cs="Times New Roman"/>
          <w:kern w:val="0"/>
          <w:sz w:val="24"/>
        </w:rPr>
      </w:pPr>
    </w:p>
    <w:p w14:paraId="18BBE0CB">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0545486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辆、机要通信用车0辆、应急保障用车0辆、执法执勤用车0辆、特种专业技术用车0辆、离退休干部用车0辆、其他用车0辆，其他用车主要是；单位价值100万元以上设备（不含车辆）0台（套）。  </w:t>
      </w:r>
    </w:p>
    <w:p w14:paraId="64E88CA5">
      <w:pPr>
        <w:sectPr>
          <w:footerReference r:id="rId18" w:type="default"/>
          <w:pgSz w:w="11906" w:h="16838"/>
          <w:pgMar w:top="1440" w:right="720" w:bottom="1440" w:left="720" w:header="720" w:footer="720" w:gutter="0"/>
          <w:cols w:space="720" w:num="1"/>
        </w:sectPr>
      </w:pPr>
    </w:p>
    <w:p w14:paraId="70FC265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93179A9">
      <w:pPr>
        <w:pStyle w:val="30"/>
        <w:widowControl/>
        <w:spacing w:before="100" w:after="100"/>
        <w:ind w:left="100" w:right="100" w:firstLine="640"/>
        <w:jc w:val="left"/>
        <w:rPr>
          <w:rFonts w:ascii="Times New Roman" w:hAnsi="Times New Roman" w:eastAsia="Times New Roman" w:cs="Times New Roman"/>
          <w:kern w:val="0"/>
          <w:sz w:val="24"/>
        </w:rPr>
      </w:pPr>
    </w:p>
    <w:p w14:paraId="30EF0607">
      <w:pPr>
        <w:pStyle w:val="30"/>
        <w:widowControl/>
        <w:spacing w:before="100" w:after="100"/>
        <w:ind w:left="100" w:right="100" w:firstLine="640"/>
        <w:jc w:val="left"/>
        <w:rPr>
          <w:rFonts w:ascii="Times New Roman" w:hAnsi="Times New Roman" w:eastAsia="Times New Roman" w:cs="Times New Roman"/>
          <w:kern w:val="0"/>
          <w:sz w:val="24"/>
        </w:rPr>
      </w:pPr>
    </w:p>
    <w:p w14:paraId="489B1B78">
      <w:pPr>
        <w:pStyle w:val="30"/>
        <w:widowControl/>
        <w:spacing w:before="100" w:after="100"/>
        <w:ind w:left="100" w:right="100" w:firstLine="640"/>
        <w:jc w:val="left"/>
        <w:rPr>
          <w:rFonts w:ascii="Times New Roman" w:hAnsi="Times New Roman" w:eastAsia="Times New Roman" w:cs="Times New Roman"/>
          <w:kern w:val="0"/>
          <w:sz w:val="24"/>
        </w:rPr>
      </w:pPr>
    </w:p>
    <w:p w14:paraId="5F4D9E9A">
      <w:pPr>
        <w:pStyle w:val="30"/>
        <w:widowControl/>
        <w:spacing w:before="100" w:after="100"/>
        <w:ind w:left="100" w:right="100" w:firstLine="640"/>
        <w:jc w:val="left"/>
        <w:rPr>
          <w:rFonts w:ascii="Times New Roman" w:hAnsi="Times New Roman" w:eastAsia="Times New Roman" w:cs="Times New Roman"/>
          <w:kern w:val="0"/>
          <w:sz w:val="24"/>
        </w:rPr>
      </w:pPr>
    </w:p>
    <w:p w14:paraId="268D21F2">
      <w:pPr>
        <w:pStyle w:val="30"/>
        <w:widowControl/>
        <w:spacing w:before="100" w:after="100"/>
        <w:ind w:left="100" w:right="100" w:firstLine="640"/>
        <w:jc w:val="left"/>
        <w:rPr>
          <w:rFonts w:ascii="Times New Roman" w:hAnsi="Times New Roman" w:eastAsia="Times New Roman" w:cs="Times New Roman"/>
          <w:kern w:val="0"/>
          <w:sz w:val="24"/>
        </w:rPr>
      </w:pPr>
    </w:p>
    <w:p w14:paraId="4875349E">
      <w:pPr>
        <w:pStyle w:val="30"/>
        <w:widowControl/>
        <w:spacing w:before="100" w:after="100"/>
        <w:ind w:left="100" w:right="100" w:firstLine="640"/>
        <w:jc w:val="left"/>
        <w:rPr>
          <w:rFonts w:ascii="Times New Roman" w:hAnsi="Times New Roman" w:eastAsia="Times New Roman" w:cs="Times New Roman"/>
          <w:kern w:val="0"/>
          <w:sz w:val="24"/>
        </w:rPr>
      </w:pPr>
    </w:p>
    <w:p w14:paraId="05FC9A89">
      <w:pPr>
        <w:pStyle w:val="30"/>
        <w:widowControl/>
        <w:spacing w:before="100" w:after="100"/>
        <w:ind w:left="100" w:right="100" w:firstLine="640"/>
        <w:jc w:val="left"/>
        <w:rPr>
          <w:rFonts w:ascii="Times New Roman" w:hAnsi="Times New Roman" w:eastAsia="Times New Roman" w:cs="Times New Roman"/>
          <w:kern w:val="0"/>
          <w:sz w:val="24"/>
        </w:rPr>
      </w:pPr>
    </w:p>
    <w:p w14:paraId="145F2238">
      <w:pPr>
        <w:pStyle w:val="30"/>
        <w:widowControl/>
        <w:spacing w:before="100" w:after="100"/>
        <w:ind w:left="100" w:right="100" w:firstLine="640"/>
        <w:jc w:val="left"/>
        <w:rPr>
          <w:rFonts w:ascii="Times New Roman" w:hAnsi="Times New Roman" w:eastAsia="Times New Roman" w:cs="Times New Roman"/>
          <w:kern w:val="0"/>
          <w:sz w:val="24"/>
        </w:rPr>
      </w:pPr>
    </w:p>
    <w:p w14:paraId="2AEB6671">
      <w:pPr>
        <w:pStyle w:val="30"/>
        <w:widowControl/>
        <w:spacing w:before="100" w:after="100"/>
        <w:ind w:left="100" w:right="100" w:firstLine="640"/>
        <w:jc w:val="left"/>
        <w:rPr>
          <w:rFonts w:ascii="Times New Roman" w:hAnsi="Times New Roman" w:eastAsia="Times New Roman" w:cs="Times New Roman"/>
          <w:kern w:val="0"/>
          <w:sz w:val="24"/>
        </w:rPr>
      </w:pPr>
    </w:p>
    <w:p w14:paraId="474DC298">
      <w:pPr>
        <w:pStyle w:val="30"/>
        <w:widowControl/>
        <w:spacing w:before="100" w:after="100"/>
        <w:ind w:left="100" w:right="100" w:firstLine="640"/>
        <w:jc w:val="left"/>
        <w:rPr>
          <w:rFonts w:ascii="Times New Roman" w:hAnsi="Times New Roman" w:eastAsia="Times New Roman" w:cs="Times New Roman"/>
          <w:kern w:val="0"/>
          <w:sz w:val="24"/>
        </w:rPr>
      </w:pPr>
    </w:p>
    <w:p w14:paraId="07C52961">
      <w:pPr>
        <w:pStyle w:val="30"/>
        <w:widowControl/>
        <w:spacing w:before="100" w:after="100"/>
        <w:ind w:left="100" w:right="100" w:firstLine="640"/>
        <w:jc w:val="left"/>
        <w:rPr>
          <w:rFonts w:ascii="Times New Roman" w:hAnsi="Times New Roman" w:eastAsia="Times New Roman" w:cs="Times New Roman"/>
          <w:kern w:val="0"/>
          <w:sz w:val="24"/>
        </w:rPr>
      </w:pPr>
    </w:p>
    <w:p w14:paraId="526A7475">
      <w:pPr>
        <w:pStyle w:val="30"/>
        <w:widowControl/>
        <w:spacing w:before="100" w:after="100"/>
        <w:ind w:left="100" w:right="100" w:firstLine="640"/>
        <w:jc w:val="left"/>
        <w:rPr>
          <w:rFonts w:ascii="Times New Roman" w:hAnsi="Times New Roman" w:eastAsia="Times New Roman" w:cs="Times New Roman"/>
          <w:kern w:val="0"/>
          <w:sz w:val="24"/>
        </w:rPr>
      </w:pPr>
    </w:p>
    <w:p w14:paraId="34B2FB1A">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39" w:name="_Toc256000023"/>
      <w:bookmarkStart w:id="140" w:name="_Toc256000048"/>
      <w:bookmarkStart w:id="141" w:name="_Toc256000123"/>
      <w:bookmarkStart w:id="142" w:name="_Toc256000073"/>
      <w:bookmarkStart w:id="143" w:name="_Toc256000148"/>
      <w:bookmarkStart w:id="144" w:name="_Toc256000098"/>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39"/>
      <w:bookmarkEnd w:id="140"/>
      <w:bookmarkEnd w:id="141"/>
      <w:bookmarkEnd w:id="142"/>
      <w:bookmarkEnd w:id="143"/>
      <w:bookmarkEnd w:id="144"/>
    </w:p>
    <w:p w14:paraId="3E5739F8">
      <w:pPr>
        <w:sectPr>
          <w:footerReference r:id="rId19" w:type="default"/>
          <w:pgSz w:w="11906" w:h="16838"/>
          <w:pgMar w:top="1440" w:right="720" w:bottom="1440" w:left="720" w:header="720" w:footer="720" w:gutter="0"/>
          <w:cols w:space="720" w:num="1"/>
        </w:sectPr>
      </w:pPr>
    </w:p>
    <w:p w14:paraId="1F1CE9B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20EEAA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166BB51B">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48F900BB">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54F2EBE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29DF5E7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1C594AAB">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7ED8515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1A98962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1D72015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36DF2A1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05BFF17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407FF53D">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3A66B98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04C254E0">
      <w:pPr>
        <w:pStyle w:val="30"/>
        <w:keepNext w:val="0"/>
        <w:keepLines w:val="0"/>
        <w:pageBreakBefore w:val="0"/>
        <w:widowControl/>
        <w:kinsoku/>
        <w:wordWrap/>
        <w:overflowPunct/>
        <w:topLinePunct w:val="0"/>
        <w:autoSpaceDE/>
        <w:autoSpaceDN/>
        <w:bidi w:val="0"/>
        <w:adjustRightInd/>
        <w:snapToGrid/>
        <w:spacing w:line="240" w:lineRule="exact"/>
        <w:ind w:firstLine="643"/>
        <w:jc w:val="left"/>
        <w:textAlignment w:val="auto"/>
        <w:rPr>
          <w:rFonts w:ascii="Times New Roman" w:hAnsi="Times New Roman" w:eastAsia="Times New Roman" w:cs="Times New Roman"/>
          <w:kern w:val="0"/>
          <w:sz w:val="24"/>
        </w:rPr>
      </w:pPr>
    </w:p>
    <w:p w14:paraId="1606B973">
      <w:pPr>
        <w:keepNext w:val="0"/>
        <w:keepLines w:val="0"/>
        <w:pageBreakBefore w:val="0"/>
        <w:kinsoku/>
        <w:wordWrap/>
        <w:overflowPunct/>
        <w:topLinePunct w:val="0"/>
        <w:autoSpaceDE/>
        <w:autoSpaceDN/>
        <w:bidi w:val="0"/>
        <w:adjustRightInd/>
        <w:snapToGrid/>
        <w:spacing w:line="240" w:lineRule="exact"/>
        <w:textAlignment w:val="auto"/>
        <w:sectPr>
          <w:footerReference r:id="rId20" w:type="default"/>
          <w:pgSz w:w="11906" w:h="16838"/>
          <w:pgMar w:top="1440" w:right="720" w:bottom="1440" w:left="720" w:header="720" w:footer="720" w:gutter="0"/>
          <w:cols w:space="720" w:num="1"/>
        </w:sectPr>
      </w:pPr>
    </w:p>
    <w:p w14:paraId="782B33C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bookmarkEnd w:id="0"/>
    </w:p>
    <w:sectPr>
      <w:footerReference r:id="rId21"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034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6D8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AD3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391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690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788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5F9C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3A9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321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F52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F50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F94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327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E6DD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3BE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F2D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9C7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044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777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F5609"/>
    <w:rsid w:val="15FE007C"/>
    <w:rsid w:val="45F61A89"/>
    <w:rsid w:val="75B15B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8"/>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4"/>
    <w:qFormat/>
    <w:uiPriority w:val="0"/>
    <w:pPr>
      <w:keepNext/>
      <w:keepLines/>
      <w:spacing w:before="280" w:after="290" w:line="376" w:lineRule="auto"/>
      <w:outlineLvl w:val="3"/>
    </w:pPr>
    <w:rPr>
      <w:rFonts w:ascii="Cambria" w:hAnsi="Cambria" w:eastAsia="仿宋"/>
      <w:bCs/>
      <w:sz w:val="32"/>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10">
    <w:name w:val="toc 5"/>
    <w:basedOn w:val="1"/>
    <w:next w:val="1"/>
    <w:autoRedefine/>
    <w:qFormat/>
    <w:uiPriority w:val="0"/>
    <w:pPr>
      <w:ind w:left="840"/>
      <w:jc w:val="left"/>
    </w:pPr>
    <w:rPr>
      <w:sz w:val="20"/>
      <w:szCs w:val="20"/>
    </w:rPr>
  </w:style>
  <w:style w:type="paragraph" w:styleId="11">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9">
    <w:name w:val="toc 9"/>
    <w:basedOn w:val="1"/>
    <w:next w:val="1"/>
    <w:autoRedefine/>
    <w:qFormat/>
    <w:uiPriority w:val="0"/>
    <w:pPr>
      <w:ind w:left="1680"/>
      <w:jc w:val="left"/>
    </w:pPr>
    <w:rPr>
      <w:sz w:val="20"/>
      <w:szCs w:val="20"/>
    </w:rPr>
  </w:style>
  <w:style w:type="character" w:styleId="22">
    <w:name w:val="page number"/>
    <w:basedOn w:val="21"/>
    <w:qFormat/>
    <w:uiPriority w:val="0"/>
  </w:style>
  <w:style w:type="character" w:styleId="23">
    <w:name w:val="Hyperlink"/>
    <w:qFormat/>
    <w:uiPriority w:val="0"/>
    <w:rPr>
      <w:rFonts w:ascii="宋体" w:hAnsi="宋体" w:eastAsia="仿宋" w:cs="Times New Roman"/>
      <w:kern w:val="2"/>
      <w:sz w:val="32"/>
      <w:szCs w:val="32"/>
      <w:lang w:val="en-US" w:eastAsia="zh-CN" w:bidi="ar-SA"/>
    </w:rPr>
  </w:style>
  <w:style w:type="character" w:customStyle="1" w:styleId="24">
    <w:name w:val="标题 4 字符"/>
    <w:basedOn w:val="21"/>
    <w:link w:val="6"/>
    <w:qFormat/>
    <w:uiPriority w:val="0"/>
    <w:rPr>
      <w:rFonts w:ascii="Cambria" w:hAnsi="Cambria" w:eastAsia="仿宋"/>
      <w:bCs/>
      <w:kern w:val="2"/>
      <w:sz w:val="32"/>
      <w:szCs w:val="28"/>
    </w:rPr>
  </w:style>
  <w:style w:type="character" w:customStyle="1" w:styleId="25">
    <w:name w:val="无间隔 字符"/>
    <w:link w:val="4"/>
    <w:qFormat/>
    <w:locked/>
    <w:uiPriority w:val="0"/>
    <w:rPr>
      <w:rFonts w:eastAsia="仿宋_GB2312"/>
      <w:sz w:val="30"/>
      <w:szCs w:val="22"/>
      <w:lang w:bidi="ar-SA"/>
    </w:rPr>
  </w:style>
  <w:style w:type="character" w:customStyle="1" w:styleId="26">
    <w:name w:val="页脚 字符"/>
    <w:basedOn w:val="21"/>
    <w:link w:val="13"/>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字符"/>
    <w:basedOn w:val="21"/>
    <w:link w:val="5"/>
    <w:qFormat/>
    <w:uiPriority w:val="0"/>
    <w:rPr>
      <w:rFonts w:eastAsia="仿宋"/>
      <w:bCs/>
      <w:kern w:val="2"/>
      <w:sz w:val="32"/>
      <w:szCs w:val="32"/>
    </w:rPr>
  </w:style>
  <w:style w:type="paragraph" w:customStyle="1" w:styleId="29">
    <w:name w:val="p"/>
    <w:basedOn w:val="1"/>
    <w:qFormat/>
    <w:uiPriority w:val="0"/>
  </w:style>
  <w:style w:type="paragraph" w:customStyle="1" w:styleId="30">
    <w:name w:val="MsoNormal"/>
    <w:basedOn w:val="1"/>
    <w:qFormat/>
    <w:uiPriority w:val="0"/>
  </w:style>
  <w:style w:type="character" w:customStyle="1" w:styleId="31">
    <w:name w:val="15"/>
    <w:basedOn w:val="21"/>
    <w:qFormat/>
    <w:uiPriority w:val="0"/>
  </w:style>
  <w:style w:type="table" w:customStyle="1" w:styleId="32">
    <w:name w:val="MsoNormalTable mce-item-table"/>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3705</Words>
  <Characters>5054</Characters>
  <Lines>1</Lines>
  <Paragraphs>1</Paragraphs>
  <TotalTime>4</TotalTime>
  <ScaleCrop>false</ScaleCrop>
  <LinksUpToDate>false</LinksUpToDate>
  <CharactersWithSpaces>5289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杨溢</cp:lastModifiedBy>
  <cp:lastPrinted>2021-04-16T00:45:00Z</cp:lastPrinted>
  <dcterms:modified xsi:type="dcterms:W3CDTF">2025-10-29T07:40:37Z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97B1503E780E4393BB1E1DF91B802065_13</vt:lpwstr>
  </property>
  <property fmtid="{D5CDD505-2E9C-101B-9397-08002B2CF9AE}" pid="3" name="KSOProductBuildVer">
    <vt:lpwstr>2052-12.1.0.23125</vt:lpwstr>
  </property>
  <property fmtid="{D5CDD505-2E9C-101B-9397-08002B2CF9AE}" pid="4" name="KSOTemplateDocerSaveRecord">
    <vt:lpwstr>eyJoZGlkIjoiMjM1NWZiYTVlNTE1Yzc1MGZjNmZmNzUzODdjZjJjMDYiLCJ1c2VySWQiOiIxNjE2ODM2NDgwIn0=</vt:lpwstr>
  </property>
</Properties>
</file>