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仙游县蒋隔水库管理中心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79D8814F">
          <w:pPr>
            <w:pStyle w:val="18"/>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3"/>
              <w:rFonts w:ascii="仿宋" w:hAnsi="仿宋" w:eastAsia="仿宋" w:cs="仿宋"/>
            </w:rPr>
            <w:t>第一部分</w:t>
          </w:r>
          <w:r>
            <w:rPr>
              <w:rStyle w:val="23"/>
              <w:rFonts w:ascii="黑体" w:hAnsi="黑体" w:eastAsia="黑体" w:cs="黑体"/>
            </w:rPr>
            <w:t xml:space="preserve"> </w:t>
          </w:r>
          <w:r>
            <w:rPr>
              <w:rStyle w:val="23"/>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0B4DD354">
          <w:pPr>
            <w:pStyle w:val="11"/>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3"/>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23C5259F">
          <w:pPr>
            <w:pStyle w:val="11"/>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3"/>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738D314E">
          <w:pPr>
            <w:pStyle w:val="11"/>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3"/>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5D6CC78E">
          <w:pPr>
            <w:pStyle w:val="18"/>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3"/>
              <w:rFonts w:ascii="仿宋" w:hAnsi="仿宋" w:eastAsia="仿宋" w:cs="仿宋"/>
            </w:rPr>
            <w:t>第二部分</w:t>
          </w:r>
          <w:r>
            <w:rPr>
              <w:rStyle w:val="23"/>
              <w:rFonts w:ascii="黑体" w:hAnsi="黑体" w:eastAsia="黑体" w:cs="黑体"/>
            </w:rPr>
            <w:t xml:space="preserve"> </w:t>
          </w:r>
          <w:r>
            <w:rPr>
              <w:rStyle w:val="23"/>
              <w:rFonts w:ascii="仿宋" w:hAnsi="仿宋" w:eastAsia="仿宋" w:cs="仿宋"/>
            </w:rPr>
            <w:t>2024年度单位决算表</w:t>
          </w:r>
          <w:r>
            <w:tab/>
          </w:r>
          <w:r>
            <w:fldChar w:fldCharType="begin"/>
          </w:r>
          <w:r>
            <w:instrText xml:space="preserve"> PAGEREF _Toc256000129 \h </w:instrText>
          </w:r>
          <w:r>
            <w:fldChar w:fldCharType="separate"/>
          </w:r>
          <w:r>
            <w:t>4</w:t>
          </w:r>
          <w:r>
            <w:fldChar w:fldCharType="end"/>
          </w:r>
          <w:r>
            <w:fldChar w:fldCharType="end"/>
          </w:r>
        </w:p>
        <w:p w14:paraId="76483A91">
          <w:pPr>
            <w:pStyle w:val="11"/>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3"/>
              <w:rFonts w:ascii="仿宋" w:hAnsi="仿宋" w:eastAsia="仿宋" w:cs="仿宋"/>
            </w:rPr>
            <w:t>一、收入支出决算总表</w:t>
          </w:r>
          <w:r>
            <w:tab/>
          </w:r>
          <w:r>
            <w:fldChar w:fldCharType="begin"/>
          </w:r>
          <w:r>
            <w:instrText xml:space="preserve"> PAGEREF _Toc256000130 \h </w:instrText>
          </w:r>
          <w:r>
            <w:fldChar w:fldCharType="separate"/>
          </w:r>
          <w:r>
            <w:t>5</w:t>
          </w:r>
          <w:r>
            <w:fldChar w:fldCharType="end"/>
          </w:r>
          <w:r>
            <w:fldChar w:fldCharType="end"/>
          </w:r>
        </w:p>
        <w:p w14:paraId="07636BEE">
          <w:pPr>
            <w:pStyle w:val="11"/>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3"/>
              <w:rFonts w:ascii="仿宋" w:hAnsi="仿宋" w:eastAsia="仿宋" w:cs="仿宋"/>
            </w:rPr>
            <w:t>二、收入决算表</w:t>
          </w:r>
          <w:r>
            <w:tab/>
          </w:r>
          <w:r>
            <w:fldChar w:fldCharType="begin"/>
          </w:r>
          <w:r>
            <w:instrText xml:space="preserve"> PAGEREF _Toc256000131 \h </w:instrText>
          </w:r>
          <w:r>
            <w:fldChar w:fldCharType="separate"/>
          </w:r>
          <w:r>
            <w:t>7</w:t>
          </w:r>
          <w:r>
            <w:fldChar w:fldCharType="end"/>
          </w:r>
          <w:r>
            <w:fldChar w:fldCharType="end"/>
          </w:r>
        </w:p>
        <w:p w14:paraId="3233FB02">
          <w:pPr>
            <w:pStyle w:val="11"/>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3"/>
              <w:rFonts w:ascii="仿宋" w:hAnsi="仿宋" w:eastAsia="仿宋" w:cs="仿宋"/>
            </w:rPr>
            <w:t>三、支出决算表</w:t>
          </w:r>
          <w:r>
            <w:tab/>
          </w:r>
          <w:r>
            <w:fldChar w:fldCharType="begin"/>
          </w:r>
          <w:r>
            <w:instrText xml:space="preserve"> PAGEREF _Toc256000132 \h </w:instrText>
          </w:r>
          <w:r>
            <w:fldChar w:fldCharType="separate"/>
          </w:r>
          <w:r>
            <w:t>8</w:t>
          </w:r>
          <w:r>
            <w:fldChar w:fldCharType="end"/>
          </w:r>
          <w:r>
            <w:fldChar w:fldCharType="end"/>
          </w:r>
        </w:p>
        <w:p w14:paraId="1A807856">
          <w:pPr>
            <w:pStyle w:val="11"/>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3"/>
              <w:rFonts w:ascii="仿宋" w:hAnsi="仿宋" w:eastAsia="仿宋" w:cs="仿宋"/>
            </w:rPr>
            <w:t>四、财政拨款收入支出决算总表</w:t>
          </w:r>
          <w:r>
            <w:tab/>
          </w:r>
          <w:r>
            <w:fldChar w:fldCharType="begin"/>
          </w:r>
          <w:r>
            <w:instrText xml:space="preserve"> PAGEREF _Toc256000133 \h </w:instrText>
          </w:r>
          <w:r>
            <w:fldChar w:fldCharType="separate"/>
          </w:r>
          <w:r>
            <w:t>9</w:t>
          </w:r>
          <w:r>
            <w:fldChar w:fldCharType="end"/>
          </w:r>
          <w:r>
            <w:fldChar w:fldCharType="end"/>
          </w:r>
        </w:p>
        <w:p w14:paraId="530EC2AB">
          <w:pPr>
            <w:pStyle w:val="11"/>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3"/>
              <w:rFonts w:ascii="仿宋" w:hAnsi="仿宋" w:eastAsia="仿宋" w:cs="仿宋"/>
            </w:rPr>
            <w:t>五、一般公共预算财政拨款支出决算表</w:t>
          </w:r>
          <w:r>
            <w:tab/>
          </w:r>
          <w:r>
            <w:fldChar w:fldCharType="begin"/>
          </w:r>
          <w:r>
            <w:instrText xml:space="preserve"> PAGEREF _Toc256000134 \h </w:instrText>
          </w:r>
          <w:r>
            <w:fldChar w:fldCharType="separate"/>
          </w:r>
          <w:r>
            <w:t>11</w:t>
          </w:r>
          <w:r>
            <w:fldChar w:fldCharType="end"/>
          </w:r>
          <w:r>
            <w:fldChar w:fldCharType="end"/>
          </w:r>
        </w:p>
        <w:p w14:paraId="0DE6FF7B">
          <w:pPr>
            <w:pStyle w:val="11"/>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3"/>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12</w:t>
          </w:r>
          <w:r>
            <w:fldChar w:fldCharType="end"/>
          </w:r>
          <w:r>
            <w:fldChar w:fldCharType="end"/>
          </w:r>
        </w:p>
        <w:p w14:paraId="518BA5A9">
          <w:pPr>
            <w:pStyle w:val="11"/>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3"/>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15</w:t>
          </w:r>
          <w:r>
            <w:fldChar w:fldCharType="end"/>
          </w:r>
          <w:r>
            <w:fldChar w:fldCharType="end"/>
          </w:r>
        </w:p>
        <w:p w14:paraId="10289EBC">
          <w:pPr>
            <w:pStyle w:val="11"/>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3"/>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16</w:t>
          </w:r>
          <w:r>
            <w:fldChar w:fldCharType="end"/>
          </w:r>
          <w:r>
            <w:fldChar w:fldCharType="end"/>
          </w:r>
        </w:p>
        <w:p w14:paraId="12507E1E">
          <w:pPr>
            <w:pStyle w:val="18"/>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3"/>
              <w:rFonts w:ascii="仿宋" w:hAnsi="仿宋" w:eastAsia="仿宋" w:cs="仿宋"/>
            </w:rPr>
            <w:t>第三部分</w:t>
          </w:r>
          <w:r>
            <w:rPr>
              <w:rStyle w:val="23"/>
              <w:rFonts w:ascii="黑体" w:hAnsi="黑体" w:eastAsia="黑体" w:cs="黑体"/>
            </w:rPr>
            <w:t xml:space="preserve"> </w:t>
          </w:r>
          <w:r>
            <w:rPr>
              <w:rStyle w:val="23"/>
              <w:rFonts w:ascii="仿宋" w:hAnsi="仿宋" w:eastAsia="仿宋" w:cs="仿宋"/>
            </w:rPr>
            <w:t>2024年度单位决算情况说明</w:t>
          </w:r>
          <w:r>
            <w:tab/>
          </w:r>
          <w:r>
            <w:fldChar w:fldCharType="begin"/>
          </w:r>
          <w:r>
            <w:instrText xml:space="preserve"> PAGEREF _Toc256000138 \h </w:instrText>
          </w:r>
          <w:r>
            <w:fldChar w:fldCharType="separate"/>
          </w:r>
          <w:r>
            <w:t>18</w:t>
          </w:r>
          <w:r>
            <w:fldChar w:fldCharType="end"/>
          </w:r>
          <w:r>
            <w:fldChar w:fldCharType="end"/>
          </w:r>
        </w:p>
        <w:p w14:paraId="3ECE1749">
          <w:pPr>
            <w:pStyle w:val="11"/>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3"/>
              <w:rFonts w:ascii="仿宋" w:hAnsi="仿宋" w:eastAsia="仿宋" w:cs="仿宋"/>
            </w:rPr>
            <w:t>一、收入支出决算总体情况说明</w:t>
          </w:r>
          <w:r>
            <w:tab/>
          </w:r>
          <w:r>
            <w:fldChar w:fldCharType="begin"/>
          </w:r>
          <w:r>
            <w:instrText xml:space="preserve"> PAGEREF _Toc256000139 \h </w:instrText>
          </w:r>
          <w:r>
            <w:fldChar w:fldCharType="separate"/>
          </w:r>
          <w:r>
            <w:t>19</w:t>
          </w:r>
          <w:r>
            <w:fldChar w:fldCharType="end"/>
          </w:r>
          <w:r>
            <w:fldChar w:fldCharType="end"/>
          </w:r>
        </w:p>
        <w:p w14:paraId="6EEEEC17">
          <w:pPr>
            <w:pStyle w:val="11"/>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3"/>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20</w:t>
          </w:r>
          <w:r>
            <w:fldChar w:fldCharType="end"/>
          </w:r>
          <w:r>
            <w:fldChar w:fldCharType="end"/>
          </w:r>
        </w:p>
        <w:p w14:paraId="2D52CE43">
          <w:pPr>
            <w:pStyle w:val="11"/>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3"/>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20</w:t>
          </w:r>
          <w:r>
            <w:fldChar w:fldCharType="end"/>
          </w:r>
          <w:r>
            <w:fldChar w:fldCharType="end"/>
          </w:r>
        </w:p>
        <w:p w14:paraId="2500A527">
          <w:pPr>
            <w:pStyle w:val="11"/>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3"/>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20</w:t>
          </w:r>
          <w:r>
            <w:fldChar w:fldCharType="end"/>
          </w:r>
          <w:r>
            <w:fldChar w:fldCharType="end"/>
          </w:r>
        </w:p>
        <w:p w14:paraId="086ED87D">
          <w:pPr>
            <w:pStyle w:val="11"/>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3"/>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20</w:t>
          </w:r>
          <w:r>
            <w:fldChar w:fldCharType="end"/>
          </w:r>
          <w:r>
            <w:fldChar w:fldCharType="end"/>
          </w:r>
        </w:p>
        <w:p w14:paraId="1486B090">
          <w:pPr>
            <w:pStyle w:val="11"/>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3"/>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20</w:t>
          </w:r>
          <w:r>
            <w:fldChar w:fldCharType="end"/>
          </w:r>
          <w:r>
            <w:fldChar w:fldCharType="end"/>
          </w:r>
        </w:p>
        <w:p w14:paraId="572DCD03">
          <w:pPr>
            <w:pStyle w:val="11"/>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3"/>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21</w:t>
          </w:r>
          <w:r>
            <w:fldChar w:fldCharType="end"/>
          </w:r>
          <w:r>
            <w:fldChar w:fldCharType="end"/>
          </w:r>
        </w:p>
        <w:p w14:paraId="5BD78FD9">
          <w:pPr>
            <w:pStyle w:val="11"/>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3"/>
              <w:rFonts w:ascii="仿宋" w:hAnsi="仿宋" w:eastAsia="仿宋" w:cs="仿宋"/>
            </w:rPr>
            <w:t>八、预算绩效情况说明</w:t>
          </w:r>
          <w:r>
            <w:tab/>
          </w:r>
          <w:r>
            <w:fldChar w:fldCharType="begin"/>
          </w:r>
          <w:r>
            <w:instrText xml:space="preserve"> PAGEREF _Toc256000146 \h </w:instrText>
          </w:r>
          <w:r>
            <w:fldChar w:fldCharType="separate"/>
          </w:r>
          <w:r>
            <w:t>22</w:t>
          </w:r>
          <w:r>
            <w:fldChar w:fldCharType="end"/>
          </w:r>
          <w:r>
            <w:fldChar w:fldCharType="end"/>
          </w:r>
        </w:p>
        <w:p w14:paraId="14624A38">
          <w:pPr>
            <w:pStyle w:val="11"/>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3"/>
              <w:rFonts w:ascii="仿宋" w:hAnsi="仿宋" w:eastAsia="仿宋" w:cs="仿宋"/>
            </w:rPr>
            <w:t>九、其他重要事项说明</w:t>
          </w:r>
          <w:r>
            <w:tab/>
          </w:r>
          <w:r>
            <w:fldChar w:fldCharType="begin"/>
          </w:r>
          <w:r>
            <w:instrText xml:space="preserve"> PAGEREF _Toc256000147 \h </w:instrText>
          </w:r>
          <w:r>
            <w:fldChar w:fldCharType="separate"/>
          </w:r>
          <w:r>
            <w:t>22</w:t>
          </w:r>
          <w:r>
            <w:fldChar w:fldCharType="end"/>
          </w:r>
          <w:r>
            <w:fldChar w:fldCharType="end"/>
          </w:r>
        </w:p>
        <w:p w14:paraId="129539CC">
          <w:pPr>
            <w:pStyle w:val="18"/>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3"/>
              <w:rFonts w:ascii="仿宋" w:hAnsi="仿宋" w:eastAsia="仿宋" w:cs="仿宋"/>
            </w:rPr>
            <w:t>第四部分</w:t>
          </w:r>
          <w:r>
            <w:rPr>
              <w:rStyle w:val="23"/>
              <w:rFonts w:ascii="黑体" w:hAnsi="黑体" w:eastAsia="黑体" w:cs="黑体"/>
            </w:rPr>
            <w:t xml:space="preserve"> </w:t>
          </w:r>
          <w:r>
            <w:rPr>
              <w:rStyle w:val="23"/>
              <w:rFonts w:ascii="仿宋" w:hAnsi="仿宋" w:eastAsia="仿宋" w:cs="仿宋"/>
            </w:rPr>
            <w:t>名词解释</w:t>
          </w:r>
          <w:r>
            <w:tab/>
          </w:r>
          <w:r>
            <w:fldChar w:fldCharType="begin"/>
          </w:r>
          <w:r>
            <w:instrText xml:space="preserve"> PAGEREF _Toc256000148 \h </w:instrText>
          </w:r>
          <w:r>
            <w:fldChar w:fldCharType="separate"/>
          </w:r>
          <w:r>
            <w:t>23</w:t>
          </w:r>
          <w:r>
            <w:fldChar w:fldCharType="end"/>
          </w:r>
          <w:r>
            <w:fldChar w:fldCharType="end"/>
          </w:r>
        </w:p>
        <w:p w14:paraId="58C079E6">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bookmarkStart w:id="146" w:name="_GoBack"/>
          <w:bookmarkEnd w:id="146"/>
        </w:p>
      </w:sdtContent>
    </w:sdt>
    <w:p w14:paraId="70202DA5">
      <w:pPr>
        <w:widowControl/>
        <w:spacing w:after="240"/>
        <w:jc w:val="left"/>
        <w:rPr>
          <w:rFonts w:ascii="Times New Roman" w:hAnsi="Times New Roman" w:eastAsia="Times New Roman" w:cs="Times New Roman"/>
          <w:kern w:val="0"/>
          <w:sz w:val="24"/>
        </w:rPr>
      </w:pPr>
      <w:bookmarkStart w:id="0" w:name="a000"/>
    </w:p>
    <w:p w14:paraId="494BBBA1">
      <w:pPr>
        <w:widowControl/>
        <w:spacing w:before="240" w:after="240"/>
        <w:jc w:val="left"/>
        <w:rPr>
          <w:rFonts w:ascii="Times New Roman" w:hAnsi="Times New Roman" w:eastAsia="Times New Roman" w:cs="Times New Roman"/>
          <w:kern w:val="0"/>
          <w:sz w:val="24"/>
        </w:rPr>
      </w:pPr>
    </w:p>
    <w:p w14:paraId="608D61F6">
      <w:pPr>
        <w:widowControl/>
        <w:spacing w:before="240" w:after="240"/>
        <w:jc w:val="left"/>
        <w:rPr>
          <w:rFonts w:ascii="Times New Roman" w:hAnsi="Times New Roman" w:eastAsia="Times New Roman" w:cs="Times New Roman"/>
          <w:kern w:val="0"/>
          <w:sz w:val="24"/>
        </w:rPr>
      </w:pPr>
    </w:p>
    <w:p w14:paraId="1788386E">
      <w:pPr>
        <w:widowControl/>
        <w:spacing w:before="240" w:after="240"/>
        <w:jc w:val="left"/>
        <w:rPr>
          <w:rFonts w:ascii="Times New Roman" w:hAnsi="Times New Roman" w:eastAsia="Times New Roman" w:cs="Times New Roman"/>
          <w:kern w:val="0"/>
          <w:sz w:val="24"/>
        </w:rPr>
      </w:pPr>
    </w:p>
    <w:p w14:paraId="36199F02">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75"/>
      <w:bookmarkStart w:id="2" w:name="_Toc256000050"/>
      <w:bookmarkStart w:id="3" w:name="_Toc256000100"/>
      <w:bookmarkStart w:id="4" w:name="_Toc256000125"/>
      <w:bookmarkStart w:id="5" w:name="_Toc256000000"/>
      <w:bookmarkStart w:id="6" w:name="_Toc256000025"/>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2B75CF7E">
      <w:pPr>
        <w:sectPr>
          <w:footerReference r:id="rId5" w:type="default"/>
          <w:pgSz w:w="11906" w:h="16838"/>
          <w:pgMar w:top="1440" w:right="720" w:bottom="1440" w:left="720" w:header="720" w:footer="720" w:gutter="0"/>
          <w:pgNumType w:start="1"/>
          <w:cols w:space="720" w:num="1"/>
        </w:sectPr>
      </w:pPr>
    </w:p>
    <w:p w14:paraId="5695B8D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0B2602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101"/>
      <w:bookmarkStart w:id="8" w:name="_Toc256000026"/>
      <w:bookmarkStart w:id="9" w:name="_Toc256000001"/>
      <w:bookmarkStart w:id="10" w:name="_Toc256000076"/>
      <w:bookmarkStart w:id="11" w:name="_Toc256000051"/>
      <w:bookmarkStart w:id="12" w:name="_Toc256000126"/>
      <w:r>
        <w:rPr>
          <w:rFonts w:ascii="黑体" w:hAnsi="黑体" w:eastAsia="黑体" w:cs="黑体"/>
          <w:b w:val="0"/>
          <w:bCs w:val="0"/>
          <w:spacing w:val="0"/>
        </w:rPr>
        <w:t>一、单位主要职责</w:t>
      </w:r>
      <w:bookmarkEnd w:id="7"/>
      <w:bookmarkEnd w:id="8"/>
      <w:bookmarkEnd w:id="9"/>
      <w:bookmarkEnd w:id="10"/>
      <w:bookmarkEnd w:id="11"/>
      <w:bookmarkEnd w:id="12"/>
    </w:p>
    <w:p w14:paraId="3E0B2F90">
      <w:pPr>
        <w:spacing w:line="560" w:lineRule="exact"/>
        <w:ind w:firstLine="640" w:firstLineChars="200"/>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仙游县蒋隔水库管理中心单位的主要职责是：</w:t>
      </w:r>
    </w:p>
    <w:p w14:paraId="3A55D93F">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狠抓防汛工作，确保水库安全渡汛。</w:t>
      </w:r>
    </w:p>
    <w:p w14:paraId="6D0A62F1">
      <w:pPr>
        <w:pStyle w:val="9"/>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36D63C09">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751B10D7">
      <w:pPr>
        <w:pStyle w:val="5"/>
        <w:keepNext w:val="0"/>
        <w:keepLines w:val="0"/>
        <w:spacing w:before="100" w:after="100" w:line="560" w:lineRule="atLeast"/>
        <w:ind w:left="0" w:leftChars="0" w:right="100" w:firstLine="960" w:firstLineChars="300"/>
        <w:rPr>
          <w:rFonts w:ascii="Times New Roman" w:hAnsi="Times New Roman" w:eastAsia="Times New Roman" w:cs="Times New Roman"/>
          <w:b/>
          <w:bCs/>
          <w:kern w:val="0"/>
          <w:sz w:val="28"/>
          <w:szCs w:val="28"/>
        </w:rPr>
      </w:pPr>
      <w:bookmarkStart w:id="13" w:name="_Toc256000077"/>
      <w:bookmarkStart w:id="14" w:name="_Toc256000002"/>
      <w:bookmarkStart w:id="15" w:name="_Toc256000027"/>
      <w:bookmarkStart w:id="16" w:name="_Toc256000052"/>
      <w:bookmarkStart w:id="17" w:name="_Toc256000102"/>
      <w:bookmarkStart w:id="18" w:name="_Toc256000127"/>
      <w:r>
        <w:rPr>
          <w:rFonts w:ascii="黑体" w:hAnsi="黑体" w:eastAsia="黑体" w:cs="黑体"/>
          <w:b w:val="0"/>
          <w:bCs w:val="0"/>
          <w:spacing w:val="0"/>
        </w:rPr>
        <w:t>二、单位基本情况</w:t>
      </w:r>
      <w:bookmarkEnd w:id="13"/>
      <w:bookmarkEnd w:id="14"/>
      <w:bookmarkEnd w:id="15"/>
      <w:bookmarkEnd w:id="16"/>
      <w:bookmarkEnd w:id="17"/>
      <w:bookmarkEnd w:id="18"/>
    </w:p>
    <w:p w14:paraId="0999FD0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个内设机构，其中：列入2024年决算编制范围的单位详细情况见下表:</w:t>
      </w:r>
    </w:p>
    <w:tbl>
      <w:tblPr>
        <w:tblStyle w:val="20"/>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383D57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21D2BBA2">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7235AE5">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3C3B844C">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333414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1C7637E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仙游县蒋隔水库管理中心</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72C5EA96">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公益二类事业单位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37DDF9BF">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11</w:t>
            </w:r>
          </w:p>
        </w:tc>
      </w:tr>
    </w:tbl>
    <w:p w14:paraId="6AFA5DA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053"/>
      <w:bookmarkStart w:id="21" w:name="_Toc256000078"/>
      <w:bookmarkStart w:id="22" w:name="_Toc256000028"/>
      <w:bookmarkStart w:id="23" w:name="_Toc256000128"/>
      <w:bookmarkStart w:id="24" w:name="_Toc256000103"/>
      <w:r>
        <w:rPr>
          <w:rFonts w:ascii="黑体" w:hAnsi="黑体" w:eastAsia="黑体" w:cs="黑体"/>
          <w:b w:val="0"/>
          <w:bCs w:val="0"/>
          <w:spacing w:val="0"/>
        </w:rPr>
        <w:t>三、单位主要工作总结</w:t>
      </w:r>
      <w:bookmarkEnd w:id="19"/>
      <w:bookmarkEnd w:id="20"/>
      <w:bookmarkEnd w:id="21"/>
      <w:bookmarkEnd w:id="22"/>
      <w:bookmarkEnd w:id="23"/>
      <w:bookmarkEnd w:id="24"/>
    </w:p>
    <w:p w14:paraId="3B3415E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2024年，仙游县蒋隔水库管理中心单位主要任务是：围绕上述任务，重点完成了以下工作：</w:t>
      </w:r>
    </w:p>
    <w:p w14:paraId="5E19FAB2">
      <w:pPr>
        <w:pStyle w:val="33"/>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ascii="仿宋" w:hAnsi="仿宋" w:eastAsia="仿宋" w:cs="仿宋"/>
          <w:b/>
          <w:bCs/>
          <w:sz w:val="32"/>
          <w:szCs w:val="32"/>
        </w:rPr>
      </w:pPr>
      <w:r>
        <w:rPr>
          <w:rFonts w:ascii="仿宋" w:hAnsi="仿宋" w:eastAsia="仿宋" w:cs="仿宋"/>
          <w:b/>
          <w:bCs/>
          <w:sz w:val="32"/>
          <w:szCs w:val="32"/>
        </w:rPr>
        <w:t>（一）狠抓防汛工作，确保水库安全渡汛</w:t>
      </w:r>
    </w:p>
    <w:p w14:paraId="51CD25A4">
      <w:pPr>
        <w:pStyle w:val="3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ascii="仿宋" w:hAnsi="仿宋" w:eastAsia="仿宋"/>
          <w:sz w:val="32"/>
          <w:szCs w:val="32"/>
        </w:rPr>
      </w:pPr>
      <w:r>
        <w:rPr>
          <w:rFonts w:ascii="仿宋" w:hAnsi="仿宋" w:eastAsia="仿宋"/>
          <w:sz w:val="32"/>
          <w:szCs w:val="32"/>
        </w:rPr>
        <w:t xml:space="preserve">   </w:t>
      </w:r>
      <w:r>
        <w:rPr>
          <w:rFonts w:ascii="仿宋" w:hAnsi="仿宋" w:eastAsia="仿宋"/>
          <w:sz w:val="32"/>
          <w:szCs w:val="32"/>
          <w:lang w:val="en-US" w:eastAsia="zh-CN"/>
        </w:rPr>
        <w:t xml:space="preserve"> 水</w:t>
      </w:r>
      <w:r>
        <w:rPr>
          <w:rFonts w:ascii="仿宋" w:hAnsi="仿宋" w:eastAsia="仿宋"/>
          <w:sz w:val="32"/>
          <w:szCs w:val="32"/>
        </w:rPr>
        <w:t>库全体上下牢固树立防汛意识和责任意识，突出早抓、实抓，扎实有效地做好了防汛各项基础性工作。一是汛前检查到位。在2月中旬和3月上旬，我库组织工程技术人员和相关负责人对水库</w:t>
      </w:r>
      <w:bookmarkStart w:id="25" w:name="OLE_LINK1"/>
      <w:r>
        <w:rPr>
          <w:rFonts w:ascii="仿宋" w:hAnsi="仿宋" w:eastAsia="仿宋"/>
          <w:sz w:val="32"/>
          <w:szCs w:val="32"/>
        </w:rPr>
        <w:t>枢纽工程</w:t>
      </w:r>
      <w:bookmarkEnd w:id="25"/>
      <w:r>
        <w:rPr>
          <w:rFonts w:ascii="仿宋" w:hAnsi="仿宋" w:eastAsia="仿宋"/>
          <w:sz w:val="32"/>
          <w:szCs w:val="32"/>
        </w:rPr>
        <w:t>和渠道进行了汛前大检查，制定了切实可行的水库渡汛计划，进入主汛期后，再次对枢纽工程，各病险渠段和工程重点区域进行了严密细致的安全督查，</w:t>
      </w:r>
      <w:r>
        <w:rPr>
          <w:rFonts w:ascii="仿宋" w:hAnsi="仿宋" w:eastAsia="仿宋"/>
          <w:sz w:val="32"/>
          <w:szCs w:val="32"/>
          <w:lang w:eastAsia="zh-CN"/>
        </w:rPr>
        <w:t>在省厅督查专家组对蒋隔水库工程枢纽督查时给予较高的评价。</w:t>
      </w:r>
      <w:r>
        <w:rPr>
          <w:rFonts w:ascii="仿宋" w:hAnsi="仿宋" w:eastAsia="仿宋"/>
          <w:sz w:val="32"/>
          <w:szCs w:val="32"/>
        </w:rPr>
        <w:t>对查出的问题及时处理，限期整改，不留隐患，始终做到对水库运行状态，心中有数，切实提高了对水库防洪调渡的科学性和可行性。二是责任落实到位。成立主任一把手为组长，副主任为副组长，工程技术人员和站组长为成员的防汛领导小组和抗洪抢险队伍，防汛物资全部调整到位。人汛以来，水库严格执行24小时领导带班防汛值班制度，今年5月份以来连续1个多月的强降雨，水库溢洪道泄洪量4200多万方，水库值班人员能准确掌握水文动态，科学合理调度库容。三是预防措施到位</w:t>
      </w:r>
      <w:r>
        <w:rPr>
          <w:rFonts w:ascii="仿宋" w:hAnsi="仿宋" w:eastAsia="仿宋"/>
          <w:sz w:val="32"/>
          <w:szCs w:val="32"/>
          <w:lang w:eastAsia="zh-CN"/>
        </w:rPr>
        <w:t>。</w:t>
      </w:r>
      <w:r>
        <w:rPr>
          <w:rFonts w:ascii="仿宋" w:hAnsi="仿宋" w:eastAsia="仿宋"/>
          <w:sz w:val="32"/>
          <w:szCs w:val="32"/>
        </w:rPr>
        <w:t>按照上级主管部门要求，我库在2月中旬就组织技术力量及时制定和完善了水库的防洪预案，水库防汛抢险应急预案，以及水库汛期调度规程运用计划等，为安全度汛提供了强有力的保证。四是防汛物资到位。重点落实了水库领导及中层骨干为主体的应急抢险队伍，同时落实了水库防汛物资的储备工作，真正做到了有备无患。</w:t>
      </w:r>
    </w:p>
    <w:p w14:paraId="47866D34">
      <w:pPr>
        <w:pStyle w:val="33"/>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ascii="仿宋" w:hAnsi="仿宋" w:eastAsia="仿宋" w:cs="仿宋"/>
          <w:b/>
          <w:bCs/>
          <w:sz w:val="32"/>
          <w:szCs w:val="32"/>
        </w:rPr>
      </w:pPr>
      <w:r>
        <w:rPr>
          <w:rFonts w:ascii="仿宋" w:hAnsi="仿宋" w:eastAsia="仿宋" w:cs="仿宋"/>
          <w:b/>
          <w:bCs/>
          <w:sz w:val="32"/>
          <w:szCs w:val="32"/>
        </w:rPr>
        <w:t xml:space="preserve">（二）加强库区安全工作监管巡查 </w:t>
      </w:r>
    </w:p>
    <w:p w14:paraId="4A8E8E81">
      <w:pPr>
        <w:pStyle w:val="33"/>
        <w:keepNext w:val="0"/>
        <w:keepLines w:val="0"/>
        <w:pageBreakBefore w:val="0"/>
        <w:widowControl w:val="0"/>
        <w:kinsoku/>
        <w:wordWrap/>
        <w:overflowPunct/>
        <w:topLinePunct w:val="0"/>
        <w:autoSpaceDE/>
        <w:autoSpaceDN/>
        <w:bidi w:val="0"/>
        <w:adjustRightInd/>
        <w:snapToGrid/>
        <w:spacing w:beforeLines="0" w:afterLines="0" w:line="560" w:lineRule="exact"/>
        <w:ind w:firstLine="800" w:firstLineChars="250"/>
        <w:jc w:val="left"/>
        <w:textAlignment w:val="auto"/>
        <w:rPr>
          <w:rFonts w:ascii="仿宋" w:hAnsi="仿宋" w:eastAsia="仿宋"/>
          <w:sz w:val="32"/>
          <w:szCs w:val="32"/>
        </w:rPr>
      </w:pPr>
      <w:r>
        <w:rPr>
          <w:rFonts w:ascii="仿宋" w:hAnsi="仿宋" w:eastAsia="仿宋"/>
          <w:sz w:val="32"/>
          <w:szCs w:val="32"/>
        </w:rPr>
        <w:t>水库运行工作人员牢固树立“安全贵如生命，责任重于泰山”的安全管理理念，认真贯彻“安全第一，预防为主”的方针，坚持定时巡逻值班，切实履行水库大坝巡视检查岗位职责，及时发现并掌握工程运行中出现的异常情况，为保证水库安全运行提供了保障。</w:t>
      </w:r>
    </w:p>
    <w:p w14:paraId="4E3C0745">
      <w:pPr>
        <w:pStyle w:val="33"/>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3" w:firstLineChars="200"/>
        <w:jc w:val="left"/>
        <w:textAlignment w:val="auto"/>
        <w:rPr>
          <w:rFonts w:ascii="仿宋" w:hAnsi="仿宋" w:eastAsia="仿宋" w:cs="仿宋"/>
          <w:b/>
          <w:bCs/>
          <w:sz w:val="32"/>
          <w:szCs w:val="32"/>
        </w:rPr>
      </w:pPr>
      <w:r>
        <w:rPr>
          <w:rFonts w:ascii="仿宋" w:hAnsi="仿宋" w:eastAsia="仿宋" w:cs="仿宋"/>
          <w:b/>
          <w:bCs/>
          <w:sz w:val="32"/>
          <w:szCs w:val="32"/>
        </w:rPr>
        <w:t>加强水资源保护管理，确保饮水安全</w:t>
      </w:r>
    </w:p>
    <w:p w14:paraId="5A3E7E6F">
      <w:pPr>
        <w:pStyle w:val="3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ascii="仿宋" w:hAnsi="仿宋" w:eastAsia="仿宋"/>
          <w:sz w:val="32"/>
          <w:szCs w:val="32"/>
        </w:rPr>
      </w:pPr>
      <w:r>
        <w:rPr>
          <w:rFonts w:ascii="仿宋" w:hAnsi="仿宋" w:eastAsia="仿宋" w:cs="仿宋"/>
          <w:sz w:val="32"/>
          <w:szCs w:val="32"/>
          <w:lang w:val="en-US" w:eastAsia="zh-CN"/>
        </w:rPr>
        <w:t>我中心加强库区水资源巡查，有效遏制库区游泳、垂钓、网箱养殖等。定期组织人员打捞库区水面的垃圾等，通过我们的努力，现在库区水污染得到有效的遏制，水质已从Ⅱ类逐渐提高。水库也</w:t>
      </w:r>
      <w:r>
        <w:rPr>
          <w:rFonts w:ascii="仿宋" w:hAnsi="仿宋" w:eastAsia="仿宋"/>
          <w:sz w:val="32"/>
          <w:szCs w:val="32"/>
        </w:rPr>
        <w:t>制定</w:t>
      </w:r>
      <w:r>
        <w:rPr>
          <w:rFonts w:ascii="仿宋" w:hAnsi="仿宋" w:eastAsia="仿宋"/>
          <w:sz w:val="32"/>
          <w:szCs w:val="32"/>
          <w:lang w:eastAsia="zh-CN"/>
        </w:rPr>
        <w:t>了</w:t>
      </w:r>
      <w:r>
        <w:rPr>
          <w:rFonts w:ascii="仿宋" w:hAnsi="仿宋" w:eastAsia="仿宋"/>
          <w:sz w:val="32"/>
          <w:szCs w:val="32"/>
        </w:rPr>
        <w:t>《水库水资源保护应急预案》，通过我们的努力，有力保障了水库下游人民群众生活饮水安全。</w:t>
      </w:r>
    </w:p>
    <w:p w14:paraId="039C83C6">
      <w:pPr>
        <w:pStyle w:val="33"/>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3" w:firstLineChars="200"/>
        <w:jc w:val="left"/>
        <w:textAlignment w:val="auto"/>
        <w:rPr>
          <w:rFonts w:ascii="仿宋" w:hAnsi="仿宋" w:eastAsia="仿宋" w:cs="仿宋"/>
          <w:b/>
          <w:bCs/>
          <w:sz w:val="32"/>
          <w:szCs w:val="32"/>
        </w:rPr>
      </w:pPr>
      <w:r>
        <w:rPr>
          <w:rFonts w:ascii="仿宋" w:hAnsi="仿宋" w:eastAsia="仿宋" w:cs="仿宋"/>
          <w:b/>
          <w:bCs/>
          <w:sz w:val="32"/>
          <w:szCs w:val="32"/>
        </w:rPr>
        <w:t>加强班子建设，解决热点难点问题</w:t>
      </w:r>
    </w:p>
    <w:p w14:paraId="37C966C8">
      <w:pPr>
        <w:pStyle w:val="33"/>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ascii="仿宋" w:hAnsi="仿宋" w:eastAsia="仿宋"/>
          <w:sz w:val="32"/>
          <w:szCs w:val="32"/>
        </w:rPr>
      </w:pPr>
      <w:r>
        <w:rPr>
          <w:rFonts w:ascii="仿宋" w:hAnsi="仿宋" w:eastAsia="仿宋"/>
          <w:sz w:val="32"/>
          <w:szCs w:val="32"/>
        </w:rPr>
        <w:t xml:space="preserve">   </w:t>
      </w:r>
      <w:r>
        <w:rPr>
          <w:rFonts w:ascii="仿宋" w:hAnsi="仿宋" w:eastAsia="仿宋"/>
          <w:sz w:val="32"/>
          <w:szCs w:val="32"/>
          <w:lang w:val="en-US" w:eastAsia="zh-CN"/>
        </w:rPr>
        <w:t xml:space="preserve"> </w:t>
      </w:r>
      <w:r>
        <w:rPr>
          <w:rFonts w:ascii="仿宋" w:hAnsi="仿宋" w:eastAsia="仿宋"/>
          <w:sz w:val="32"/>
          <w:szCs w:val="32"/>
        </w:rPr>
        <w:t>加强内部管理，注重班子领导组织建设，增进团结，齐心协力，不断提高管理水平。每年逢年过节利用工会进行慰问全体干部职工，赢得了全体干部职工好评，为职工能够安心工作，干好工作营造良好环境。</w:t>
      </w:r>
    </w:p>
    <w:p w14:paraId="32F54A08">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6" w:type="default"/>
          <w:pgSz w:w="11906" w:h="16838"/>
          <w:pgMar w:top="1440" w:right="720" w:bottom="1440" w:left="720" w:header="720" w:footer="720" w:gutter="0"/>
          <w:cols w:space="720" w:num="1"/>
        </w:sectPr>
      </w:pPr>
    </w:p>
    <w:p w14:paraId="7DA7E25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21B444A">
      <w:pPr>
        <w:pStyle w:val="29"/>
        <w:widowControl/>
        <w:spacing w:before="100" w:after="100"/>
        <w:ind w:left="100" w:right="100" w:firstLine="640"/>
        <w:jc w:val="left"/>
        <w:rPr>
          <w:rFonts w:ascii="Times New Roman" w:hAnsi="Times New Roman" w:eastAsia="Times New Roman" w:cs="Times New Roman"/>
          <w:kern w:val="0"/>
          <w:sz w:val="24"/>
        </w:rPr>
      </w:pPr>
    </w:p>
    <w:p w14:paraId="474AB1FA">
      <w:pPr>
        <w:pStyle w:val="29"/>
        <w:widowControl/>
        <w:spacing w:before="100" w:after="100"/>
        <w:ind w:left="100" w:right="100" w:firstLine="640"/>
        <w:jc w:val="left"/>
        <w:rPr>
          <w:rFonts w:ascii="Times New Roman" w:hAnsi="Times New Roman" w:eastAsia="Times New Roman" w:cs="Times New Roman"/>
          <w:kern w:val="0"/>
          <w:sz w:val="24"/>
        </w:rPr>
      </w:pPr>
    </w:p>
    <w:p w14:paraId="7C29B847">
      <w:pPr>
        <w:pStyle w:val="29"/>
        <w:widowControl/>
        <w:spacing w:before="100" w:after="100"/>
        <w:ind w:left="100" w:right="100" w:firstLine="640"/>
        <w:jc w:val="left"/>
        <w:rPr>
          <w:rFonts w:ascii="Times New Roman" w:hAnsi="Times New Roman" w:eastAsia="Times New Roman" w:cs="Times New Roman"/>
          <w:kern w:val="0"/>
          <w:sz w:val="24"/>
        </w:rPr>
      </w:pPr>
    </w:p>
    <w:p w14:paraId="2E0DAD91">
      <w:pPr>
        <w:pStyle w:val="29"/>
        <w:widowControl/>
        <w:spacing w:before="100" w:after="100"/>
        <w:ind w:left="100" w:right="100" w:firstLine="640"/>
        <w:jc w:val="left"/>
        <w:rPr>
          <w:rFonts w:ascii="Times New Roman" w:hAnsi="Times New Roman" w:eastAsia="Times New Roman" w:cs="Times New Roman"/>
          <w:kern w:val="0"/>
          <w:sz w:val="24"/>
        </w:rPr>
      </w:pPr>
    </w:p>
    <w:p w14:paraId="354DC055">
      <w:pPr>
        <w:pStyle w:val="29"/>
        <w:widowControl/>
        <w:spacing w:before="100" w:after="100"/>
        <w:ind w:left="100" w:right="100" w:firstLine="640"/>
        <w:jc w:val="left"/>
        <w:rPr>
          <w:rFonts w:ascii="Times New Roman" w:hAnsi="Times New Roman" w:eastAsia="Times New Roman" w:cs="Times New Roman"/>
          <w:kern w:val="0"/>
          <w:sz w:val="24"/>
        </w:rPr>
      </w:pPr>
    </w:p>
    <w:p w14:paraId="6909151A">
      <w:pPr>
        <w:pStyle w:val="29"/>
        <w:widowControl/>
        <w:spacing w:before="100" w:after="100"/>
        <w:ind w:left="100" w:right="100" w:firstLine="640"/>
        <w:jc w:val="left"/>
        <w:rPr>
          <w:rFonts w:ascii="Times New Roman" w:hAnsi="Times New Roman" w:eastAsia="Times New Roman" w:cs="Times New Roman"/>
          <w:kern w:val="0"/>
          <w:sz w:val="24"/>
        </w:rPr>
      </w:pPr>
    </w:p>
    <w:p w14:paraId="10B07CA6">
      <w:pPr>
        <w:pStyle w:val="29"/>
        <w:widowControl/>
        <w:spacing w:before="100" w:after="100"/>
        <w:ind w:left="100" w:right="100" w:firstLine="640"/>
        <w:jc w:val="left"/>
        <w:rPr>
          <w:rFonts w:ascii="Times New Roman" w:hAnsi="Times New Roman" w:eastAsia="Times New Roman" w:cs="Times New Roman"/>
          <w:kern w:val="0"/>
          <w:sz w:val="24"/>
        </w:rPr>
      </w:pPr>
    </w:p>
    <w:p w14:paraId="05A5C351">
      <w:pPr>
        <w:pStyle w:val="29"/>
        <w:widowControl/>
        <w:spacing w:before="100" w:after="100"/>
        <w:ind w:left="100" w:right="100" w:firstLine="640"/>
        <w:jc w:val="left"/>
        <w:rPr>
          <w:rFonts w:ascii="Times New Roman" w:hAnsi="Times New Roman" w:eastAsia="Times New Roman" w:cs="Times New Roman"/>
          <w:kern w:val="0"/>
          <w:sz w:val="24"/>
        </w:rPr>
      </w:pPr>
    </w:p>
    <w:p w14:paraId="468B3A91">
      <w:pPr>
        <w:pStyle w:val="29"/>
        <w:widowControl/>
        <w:spacing w:before="100" w:after="100"/>
        <w:ind w:left="100" w:right="100" w:firstLine="640"/>
        <w:jc w:val="left"/>
        <w:rPr>
          <w:rFonts w:ascii="Times New Roman" w:hAnsi="Times New Roman" w:eastAsia="Times New Roman" w:cs="Times New Roman"/>
          <w:kern w:val="0"/>
          <w:sz w:val="24"/>
        </w:rPr>
      </w:pPr>
    </w:p>
    <w:p w14:paraId="11791D5E">
      <w:pPr>
        <w:pStyle w:val="29"/>
        <w:widowControl/>
        <w:spacing w:before="100" w:after="100"/>
        <w:ind w:left="100" w:right="100" w:firstLine="640"/>
        <w:jc w:val="left"/>
        <w:rPr>
          <w:rFonts w:ascii="Times New Roman" w:hAnsi="Times New Roman" w:eastAsia="Times New Roman" w:cs="Times New Roman"/>
          <w:kern w:val="0"/>
          <w:sz w:val="24"/>
        </w:rPr>
      </w:pPr>
    </w:p>
    <w:p w14:paraId="2715AC00">
      <w:pPr>
        <w:pStyle w:val="29"/>
        <w:widowControl/>
        <w:spacing w:before="100" w:after="100"/>
        <w:ind w:left="100" w:right="100" w:firstLine="640"/>
        <w:jc w:val="left"/>
        <w:rPr>
          <w:rFonts w:ascii="Times New Roman" w:hAnsi="Times New Roman" w:eastAsia="Times New Roman" w:cs="Times New Roman"/>
          <w:kern w:val="0"/>
          <w:sz w:val="24"/>
        </w:rPr>
      </w:pPr>
    </w:p>
    <w:p w14:paraId="27095F8A">
      <w:pPr>
        <w:pStyle w:val="29"/>
        <w:widowControl/>
        <w:spacing w:before="100" w:after="100"/>
        <w:ind w:left="100" w:right="100" w:firstLine="640"/>
        <w:jc w:val="left"/>
        <w:rPr>
          <w:rFonts w:ascii="Times New Roman" w:hAnsi="Times New Roman" w:eastAsia="Times New Roman" w:cs="Times New Roman"/>
          <w:kern w:val="0"/>
          <w:sz w:val="24"/>
        </w:rPr>
      </w:pPr>
    </w:p>
    <w:p w14:paraId="3F3E517F">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6" w:name="_Toc256000079"/>
      <w:bookmarkStart w:id="27" w:name="_Toc256000029"/>
      <w:bookmarkStart w:id="28" w:name="_Toc256000129"/>
      <w:bookmarkStart w:id="29" w:name="_Toc256000054"/>
      <w:bookmarkStart w:id="30" w:name="_Toc256000104"/>
      <w:bookmarkStart w:id="31" w:name="_Toc256000004"/>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6"/>
      <w:bookmarkEnd w:id="27"/>
      <w:bookmarkEnd w:id="28"/>
      <w:bookmarkEnd w:id="29"/>
      <w:bookmarkEnd w:id="30"/>
      <w:bookmarkEnd w:id="31"/>
    </w:p>
    <w:p w14:paraId="35734683">
      <w:pPr>
        <w:sectPr>
          <w:footerReference r:id="rId7" w:type="default"/>
          <w:pgSz w:w="11906" w:h="16838"/>
          <w:pgMar w:top="1440" w:right="720" w:bottom="1440" w:left="720" w:header="720" w:footer="720" w:gutter="0"/>
          <w:cols w:space="720" w:num="1"/>
        </w:sectPr>
      </w:pPr>
    </w:p>
    <w:p w14:paraId="3B0E517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0B4C09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2" w:name="_Toc256000005"/>
      <w:bookmarkStart w:id="33" w:name="_Toc256000030"/>
      <w:bookmarkStart w:id="34" w:name="_Toc256000105"/>
      <w:bookmarkStart w:id="35" w:name="_Toc256000080"/>
      <w:bookmarkStart w:id="36" w:name="_Toc256000130"/>
      <w:bookmarkStart w:id="37" w:name="_Toc256000055"/>
      <w:r>
        <w:rPr>
          <w:rFonts w:ascii="黑体" w:hAnsi="黑体" w:eastAsia="黑体" w:cs="黑体"/>
          <w:b w:val="0"/>
          <w:bCs w:val="0"/>
          <w:spacing w:val="0"/>
        </w:rPr>
        <w:t>一、收入支出决算总表</w:t>
      </w:r>
      <w:bookmarkEnd w:id="32"/>
      <w:bookmarkEnd w:id="33"/>
      <w:bookmarkEnd w:id="34"/>
      <w:bookmarkEnd w:id="35"/>
      <w:bookmarkEnd w:id="36"/>
      <w:bookmarkEnd w:id="37"/>
    </w:p>
    <w:p w14:paraId="32FCA57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3789"/>
        <w:gridCol w:w="3790"/>
        <w:gridCol w:w="3790"/>
        <w:gridCol w:w="3790"/>
      </w:tblGrid>
      <w:tr w14:paraId="1D9E696F">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622DA69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7098DCF3">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32FCA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B864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B0F91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080A8E62">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72054C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center"/>
          </w:tcPr>
          <w:p w14:paraId="059E33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9D89A74">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7A1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228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64D0640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94C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44C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3F12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13B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5BF936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D57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369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EFE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7575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20ED9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C2A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858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FC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358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65F90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963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5F1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EC4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3E1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5FD62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05B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02D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061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AA1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73F67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0AA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B3D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C7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7FA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11A59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B45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488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3AF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4E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77B0F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4F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6EB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9C1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3B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A29B0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3E7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A9F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08B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1EC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7A2DF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139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F52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751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1E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513AC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6CA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B2C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1AA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B0E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9CA1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D6E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FD1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FB6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E9B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AC8E5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D4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335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723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6B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r>
      <w:tr w14:paraId="57BD421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810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D6F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FF1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571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415AC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15A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807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C66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23E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31F5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8FB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20F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3F3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597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B9CDC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DF5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E5E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5AF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26C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1C6C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4AF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D60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A3B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EEA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E9E8E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08E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B0B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5C2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8C8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0A7E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313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9C9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CC9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DEE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35ABF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105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8292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946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A6D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7A3A4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1308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821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69E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B88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1B7D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B6D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22C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AE7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AF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B9F44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714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E26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5BD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298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865AE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5C1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DFE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969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001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AC17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7B46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A86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91EA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B5A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AD6E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3D4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0FA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CC8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7A3C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AC1E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A7F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A80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F36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36B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r>
      <w:tr w14:paraId="6215A3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5A1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EEA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FCA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749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8BC19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244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6F2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6D5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296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BF392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250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97E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4AA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269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FE49CF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4911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88C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A15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09F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r>
      <w:tr w14:paraId="6C9E6A36">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5A544C0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1B16D172">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06A3E97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45BE39A3">
      <w:pPr>
        <w:sectPr>
          <w:footerReference r:id="rId8" w:type="default"/>
          <w:pgSz w:w="16383" w:h="11906" w:orient="landscape"/>
          <w:pgMar w:top="1134" w:right="720" w:bottom="1134" w:left="720" w:header="720" w:footer="720" w:gutter="0"/>
          <w:cols w:space="720" w:num="1"/>
        </w:sectPr>
      </w:pPr>
    </w:p>
    <w:p w14:paraId="28562729">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24F5E61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8" w:name="_Toc256000031"/>
      <w:bookmarkStart w:id="39" w:name="_Toc256000131"/>
      <w:bookmarkStart w:id="40" w:name="_Toc256000006"/>
      <w:bookmarkStart w:id="41" w:name="_Toc256000106"/>
      <w:bookmarkStart w:id="42" w:name="_Toc256000056"/>
      <w:bookmarkStart w:id="43" w:name="_Toc256000081"/>
      <w:r>
        <w:rPr>
          <w:rFonts w:ascii="黑体" w:hAnsi="黑体" w:eastAsia="黑体" w:cs="黑体"/>
          <w:b w:val="0"/>
          <w:bCs w:val="0"/>
          <w:spacing w:val="0"/>
        </w:rPr>
        <w:t>二、收入决算表</w:t>
      </w:r>
      <w:bookmarkEnd w:id="38"/>
      <w:bookmarkEnd w:id="39"/>
      <w:bookmarkEnd w:id="40"/>
      <w:bookmarkEnd w:id="41"/>
      <w:bookmarkEnd w:id="42"/>
      <w:bookmarkEnd w:id="43"/>
    </w:p>
    <w:p w14:paraId="5A3FB9D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2EE866C3">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1E3A821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06DCFDAC">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1560FB9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0A1B8C0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BD6A3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BC3A9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303329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163F8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40CB3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301DED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1A937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3A77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10C571DC">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56426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bottom"/>
          </w:tcPr>
          <w:p w14:paraId="6B2EFE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699CFC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6E5BC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78A3E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073E3AE">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DE3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1D1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316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DFF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64D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72A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76F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D8A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33630224">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2314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34E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67634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0FC6A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1B08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C16D3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E0CE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7355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0EB9B51">
            <w:pPr>
              <w:rPr>
                <w:rFonts w:ascii="Times New Roman" w:hAnsi="Times New Roman" w:eastAsia="Times New Roman" w:cs="Times New Roman"/>
                <w:b w:val="0"/>
                <w:bCs w:val="0"/>
                <w:i w:val="0"/>
                <w:iCs w:val="0"/>
                <w:smallCaps w:val="0"/>
                <w:color w:val="000000"/>
                <w:kern w:val="0"/>
                <w:sz w:val="26"/>
                <w:szCs w:val="26"/>
              </w:rPr>
            </w:pPr>
          </w:p>
        </w:tc>
      </w:tr>
      <w:tr w14:paraId="75B90CD0">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559DF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8ED56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B1C73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0BE22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0A023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52284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E046A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8C960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715ECD5">
            <w:pPr>
              <w:rPr>
                <w:rFonts w:ascii="Times New Roman" w:hAnsi="Times New Roman" w:eastAsia="Times New Roman" w:cs="Times New Roman"/>
                <w:b w:val="0"/>
                <w:bCs w:val="0"/>
                <w:i w:val="0"/>
                <w:iCs w:val="0"/>
                <w:smallCaps w:val="0"/>
                <w:color w:val="000000"/>
                <w:kern w:val="0"/>
                <w:sz w:val="26"/>
                <w:szCs w:val="26"/>
              </w:rPr>
            </w:pPr>
          </w:p>
        </w:tc>
      </w:tr>
      <w:tr w14:paraId="69C8FF36">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9AD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A196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B77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C1C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33E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C13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2E9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0EF0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6EA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B93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F3E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D9EFA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9B6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127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E18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001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80B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5BA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C1AA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671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9EC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8314C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949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861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204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7A0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ED8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500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460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D48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296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E1340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D11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BA6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4DE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597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DFA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C5E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294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1DA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4F6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DE1309">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1021FCF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49AA2B20">
      <w:pPr>
        <w:sectPr>
          <w:footerReference r:id="rId9" w:type="default"/>
          <w:pgSz w:w="16383" w:h="11906" w:orient="landscape"/>
          <w:pgMar w:top="1134" w:right="720" w:bottom="1134" w:left="720" w:header="720" w:footer="720" w:gutter="0"/>
          <w:cols w:space="720" w:num="1"/>
        </w:sectPr>
      </w:pPr>
    </w:p>
    <w:p w14:paraId="547C586F">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59A6CE1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4" w:name="_Toc256000082"/>
      <w:bookmarkStart w:id="45" w:name="_Toc256000032"/>
      <w:bookmarkStart w:id="46" w:name="_Toc256000107"/>
      <w:bookmarkStart w:id="47" w:name="_Toc256000132"/>
      <w:bookmarkStart w:id="48" w:name="_Toc256000007"/>
      <w:bookmarkStart w:id="49" w:name="_Toc256000057"/>
      <w:r>
        <w:rPr>
          <w:rFonts w:ascii="黑体" w:hAnsi="黑体" w:eastAsia="黑体" w:cs="黑体"/>
          <w:b w:val="0"/>
          <w:bCs w:val="0"/>
          <w:spacing w:val="0"/>
        </w:rPr>
        <w:t>三、支出决算表</w:t>
      </w:r>
      <w:bookmarkEnd w:id="44"/>
      <w:bookmarkEnd w:id="45"/>
      <w:bookmarkEnd w:id="46"/>
      <w:bookmarkEnd w:id="47"/>
      <w:bookmarkEnd w:id="48"/>
      <w:bookmarkEnd w:id="49"/>
    </w:p>
    <w:p w14:paraId="266438A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A55301E">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0B1EC71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4B940BCF">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62360D6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AB588C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7C4962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8AFA07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39743A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FBE0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02B5D28A">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F12F1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bottom"/>
          </w:tcPr>
          <w:p w14:paraId="272ED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A8549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7B2BB34">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5B7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293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15F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63F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BDD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108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70C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6BBE53B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7CB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241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D9945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4118E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92F593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F4BD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EE5C7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67A4C6">
            <w:pPr>
              <w:rPr>
                <w:rFonts w:ascii="Times New Roman" w:hAnsi="Times New Roman" w:eastAsia="Times New Roman" w:cs="Times New Roman"/>
                <w:b w:val="0"/>
                <w:bCs w:val="0"/>
                <w:i w:val="0"/>
                <w:iCs w:val="0"/>
                <w:smallCaps w:val="0"/>
                <w:color w:val="000000"/>
                <w:kern w:val="0"/>
                <w:sz w:val="26"/>
                <w:szCs w:val="26"/>
              </w:rPr>
            </w:pPr>
          </w:p>
        </w:tc>
      </w:tr>
      <w:tr w14:paraId="712E7A26">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58AEF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F3592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68950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3808E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67C18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AF077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3EA61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00A23B">
            <w:pPr>
              <w:rPr>
                <w:rFonts w:ascii="Times New Roman" w:hAnsi="Times New Roman" w:eastAsia="Times New Roman" w:cs="Times New Roman"/>
                <w:b w:val="0"/>
                <w:bCs w:val="0"/>
                <w:i w:val="0"/>
                <w:iCs w:val="0"/>
                <w:smallCaps w:val="0"/>
                <w:color w:val="000000"/>
                <w:kern w:val="0"/>
                <w:sz w:val="26"/>
                <w:szCs w:val="26"/>
              </w:rPr>
            </w:pPr>
          </w:p>
        </w:tc>
      </w:tr>
      <w:tr w14:paraId="7092D2DE">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ED3F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B98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7C6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E24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9D73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5E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2AB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E1B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8FF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AC0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9C354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4F4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35C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3F8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38A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AF3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09A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9F7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0D3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1D656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1DF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B1A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89A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A9E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763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3E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5A9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8C2D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23A1C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ABB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554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A86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57D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81.62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F36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E76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31A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00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9DCD7C">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6E6C71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537D04E7">
      <w:pPr>
        <w:sectPr>
          <w:footerReference r:id="rId10" w:type="default"/>
          <w:pgSz w:w="16383" w:h="11906" w:orient="landscape"/>
          <w:pgMar w:top="1134" w:right="720" w:bottom="1134" w:left="720" w:header="720" w:footer="720" w:gutter="0"/>
          <w:cols w:space="720" w:num="1"/>
        </w:sectPr>
      </w:pPr>
    </w:p>
    <w:p w14:paraId="2CB86E55">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11F87F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0" w:name="_Toc256000033"/>
      <w:bookmarkStart w:id="51" w:name="_Toc256000008"/>
      <w:bookmarkStart w:id="52" w:name="_Toc256000083"/>
      <w:bookmarkStart w:id="53" w:name="_Toc256000058"/>
      <w:bookmarkStart w:id="54" w:name="_Toc256000108"/>
      <w:bookmarkStart w:id="55" w:name="_Toc256000133"/>
      <w:r>
        <w:rPr>
          <w:rFonts w:ascii="黑体" w:hAnsi="黑体" w:eastAsia="黑体" w:cs="黑体"/>
          <w:b w:val="0"/>
          <w:bCs w:val="0"/>
          <w:spacing w:val="0"/>
        </w:rPr>
        <w:t>四、财政拨款收入支出决算总表</w:t>
      </w:r>
      <w:bookmarkEnd w:id="50"/>
      <w:bookmarkEnd w:id="51"/>
      <w:bookmarkEnd w:id="52"/>
      <w:bookmarkEnd w:id="53"/>
      <w:bookmarkEnd w:id="54"/>
      <w:bookmarkEnd w:id="55"/>
    </w:p>
    <w:p w14:paraId="64A2894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5521D296">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33B3A8C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6FAC3908">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bottom"/>
          </w:tcPr>
          <w:p w14:paraId="46C6B6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AEF79E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2ABB8D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575831B5">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2E847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bottom"/>
          </w:tcPr>
          <w:p w14:paraId="01908AC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2B04F2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BA4E300">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7FA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5D4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6F576C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119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A0A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83E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680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89C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54144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9AF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4587179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DED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5DC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58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318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050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E8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167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F4B3A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836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CA5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16F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6E2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786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06B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26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A2405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7BD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02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C2A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FE8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B5E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F05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F85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0D6C1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256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29D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A1E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7B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362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0E7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B23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61146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23F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0ED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003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D9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4B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7D7E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2BD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1D099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E0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CFC2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E43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8D2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257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85E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A77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B23A5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CB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6F1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EC99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FEF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C5A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60E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D77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8C064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BE4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6E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554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621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38F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BE3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719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207DB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609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4F6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363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C90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E79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90E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17B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E71B0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6A31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AE1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745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7AC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4C3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099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BB2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5AD7B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182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CB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529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C1D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B93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98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566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57126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352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F771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F0C7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32E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0C5E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AA5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A40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DFBDF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6A0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F65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730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29C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FE4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C4B3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2E6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1E31A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47D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A9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86C9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D83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ABB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C5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64E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842B5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A487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DE4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65A9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2E2E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29A7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A32A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447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D6B42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088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E4F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6D1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4B8F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4F7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A5EF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DF35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F56AD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3F6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3C1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5DB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944E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A1F0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FB12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C362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DC3EA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12A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18B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55C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B3D53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23CE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F2E7F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0019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2C417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3AF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1E9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748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5319A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D28F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6458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CC9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89D9E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9895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7C2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BBC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22F0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F12A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6E90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1ECC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A93D8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50A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7DF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13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AF312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A1DD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F8F2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CA7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B488C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A6D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61C1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C0E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E9E4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EB06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3C89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9962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7EFF1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4FE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7BF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079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3875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8666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C854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E81C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F39EA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5C4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921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2A9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4B7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315C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7F34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C82C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45268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86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6FD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8CF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E3C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197A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D05D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B747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12625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F5C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A7C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29C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29D3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E1E1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CC24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478A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ADA62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FCC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4897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CF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BD1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8B35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DCCC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ECC9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5A4FC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DB1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FE00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15D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CE41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F434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67A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5CB1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588F3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C54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D68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D32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05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050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2ABB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171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972332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899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6F1C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B2F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F5A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9424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51C2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248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6EA998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333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16B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532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6B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3C0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D5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A41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605B59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5D4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BBAB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E52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CDCF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B74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173FA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F1FE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76FF93">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090ECB7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0DF521B8">
      <w:pPr>
        <w:sectPr>
          <w:footerReference r:id="rId11" w:type="default"/>
          <w:pgSz w:w="16383" w:h="11906" w:orient="landscape"/>
          <w:pgMar w:top="1134" w:right="720" w:bottom="1134" w:left="720" w:header="720" w:footer="720" w:gutter="0"/>
          <w:cols w:space="720" w:num="1"/>
        </w:sectPr>
      </w:pPr>
    </w:p>
    <w:p w14:paraId="3FA3A760">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09AF2AC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6" w:name="_Toc256000109"/>
      <w:bookmarkStart w:id="57" w:name="_Toc256000059"/>
      <w:bookmarkStart w:id="58" w:name="_Toc256000084"/>
      <w:bookmarkStart w:id="59" w:name="_Toc256000034"/>
      <w:bookmarkStart w:id="60" w:name="_Toc256000134"/>
      <w:bookmarkStart w:id="61" w:name="_Toc256000009"/>
      <w:r>
        <w:rPr>
          <w:rFonts w:ascii="黑体" w:hAnsi="黑体" w:eastAsia="黑体" w:cs="黑体"/>
          <w:b w:val="0"/>
          <w:bCs w:val="0"/>
          <w:spacing w:val="0"/>
        </w:rPr>
        <w:t>五、一般公共预算财政拨款支出决算表</w:t>
      </w:r>
      <w:bookmarkEnd w:id="56"/>
      <w:bookmarkEnd w:id="57"/>
      <w:bookmarkEnd w:id="58"/>
      <w:bookmarkEnd w:id="59"/>
      <w:bookmarkEnd w:id="60"/>
      <w:bookmarkEnd w:id="61"/>
    </w:p>
    <w:p w14:paraId="66E6146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74BD5DF3">
        <w:tblPrEx>
          <w:tblCellMar>
            <w:top w:w="0" w:type="dxa"/>
            <w:left w:w="108" w:type="dxa"/>
            <w:bottom w:w="0" w:type="dxa"/>
            <w:right w:w="108" w:type="dxa"/>
          </w:tblCellMar>
        </w:tblPrEx>
        <w:trPr>
          <w:cantSplit/>
          <w:tblHeader/>
        </w:trPr>
        <w:tc>
          <w:tcPr>
            <w:tcW w:w="16382" w:type="dxa"/>
            <w:gridSpan w:val="5"/>
            <w:noWrap w:val="0"/>
            <w:tcMar>
              <w:top w:w="20" w:type="dxa"/>
              <w:left w:w="108" w:type="dxa"/>
              <w:bottom w:w="20" w:type="dxa"/>
              <w:right w:w="108" w:type="dxa"/>
            </w:tcMar>
            <w:vAlign w:val="center"/>
          </w:tcPr>
          <w:p w14:paraId="4D625DF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55A9DC20">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32896E3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D1FC37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5F337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28E2E58E">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6515E1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gridSpan w:val="2"/>
            <w:noWrap w:val="0"/>
            <w:tcMar>
              <w:top w:w="20" w:type="dxa"/>
              <w:left w:w="108" w:type="dxa"/>
              <w:bottom w:w="20" w:type="dxa"/>
              <w:right w:w="108" w:type="dxa"/>
            </w:tcMar>
            <w:vAlign w:val="center"/>
          </w:tcPr>
          <w:p w14:paraId="7A9DFC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0F868BF">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187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D68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09755953">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72E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28E9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98BC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C83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E40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10CF477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EA8FB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FC553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9A2E5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C650C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ECC449">
            <w:pPr>
              <w:rPr>
                <w:rFonts w:ascii="Times New Roman" w:hAnsi="Times New Roman" w:eastAsia="Times New Roman" w:cs="Times New Roman"/>
                <w:b w:val="0"/>
                <w:bCs w:val="0"/>
                <w:i w:val="0"/>
                <w:iCs w:val="0"/>
                <w:smallCaps w:val="0"/>
                <w:color w:val="000000"/>
                <w:kern w:val="0"/>
                <w:sz w:val="26"/>
                <w:szCs w:val="26"/>
              </w:rPr>
            </w:pPr>
          </w:p>
        </w:tc>
      </w:tr>
      <w:tr w14:paraId="08853120">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200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0F3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C4B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9A6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B3EDD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90D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CFE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D792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9E8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9B26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12C18B1">
        <w:tblPrEx>
          <w:tblCellMar>
            <w:top w:w="0" w:type="dxa"/>
            <w:left w:w="108" w:type="dxa"/>
            <w:bottom w:w="0" w:type="dxa"/>
            <w:right w:w="108" w:type="dxa"/>
          </w:tblCellMar>
        </w:tblPrEx>
        <w:trPr>
          <w:cantSplit/>
        </w:trPr>
        <w:tc>
          <w:tcPr>
            <w:tcW w:w="16382" w:type="dxa"/>
            <w:gridSpan w:val="5"/>
            <w:noWrap w:val="0"/>
            <w:tcMar>
              <w:top w:w="20" w:type="dxa"/>
              <w:left w:w="108" w:type="dxa"/>
              <w:bottom w:w="20" w:type="dxa"/>
              <w:right w:w="108" w:type="dxa"/>
            </w:tcMar>
            <w:vAlign w:val="center"/>
          </w:tcPr>
          <w:p w14:paraId="52C3FBC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7C77A6F5">
      <w:pPr>
        <w:sectPr>
          <w:footerReference r:id="rId12" w:type="default"/>
          <w:pgSz w:w="16383" w:h="11906" w:orient="landscape"/>
          <w:pgMar w:top="1134" w:right="720" w:bottom="1134" w:left="720" w:header="720" w:footer="720" w:gutter="0"/>
          <w:cols w:space="720" w:num="1"/>
        </w:sectPr>
      </w:pPr>
    </w:p>
    <w:p w14:paraId="611222C0">
      <w:pPr>
        <w:widowControl/>
        <w:jc w:val="left"/>
        <w:rPr>
          <w:rFonts w:ascii="宋体" w:hAnsi="宋体" w:cs="宋体"/>
          <w:spacing w:val="0"/>
          <w:kern w:val="0"/>
          <w:sz w:val="23"/>
          <w:szCs w:val="23"/>
        </w:rPr>
      </w:pPr>
      <w:r>
        <w:rPr>
          <w:rFonts w:ascii="宋体" w:hAnsi="宋体" w:cs="宋体"/>
          <w:spacing w:val="0"/>
          <w:kern w:val="0"/>
          <w:sz w:val="23"/>
          <w:szCs w:val="23"/>
        </w:rPr>
        <w:t> </w:t>
      </w:r>
    </w:p>
    <w:p w14:paraId="7A0E002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2" w:name="_Toc256000110"/>
      <w:bookmarkStart w:id="63" w:name="_Toc256000035"/>
      <w:bookmarkStart w:id="64" w:name="_Toc256000085"/>
      <w:bookmarkStart w:id="65" w:name="_Toc256000010"/>
      <w:bookmarkStart w:id="66" w:name="_Toc256000060"/>
      <w:bookmarkStart w:id="67" w:name="_Toc256000135"/>
      <w:r>
        <w:rPr>
          <w:rFonts w:ascii="黑体" w:hAnsi="黑体" w:eastAsia="黑体" w:cs="黑体"/>
          <w:b w:val="0"/>
          <w:bCs w:val="0"/>
          <w:spacing w:val="0"/>
        </w:rPr>
        <w:t>六、一般公共预算财政拨款基本支出决算表</w:t>
      </w:r>
      <w:bookmarkEnd w:id="62"/>
      <w:bookmarkEnd w:id="63"/>
      <w:bookmarkEnd w:id="64"/>
      <w:bookmarkEnd w:id="65"/>
      <w:bookmarkEnd w:id="66"/>
      <w:bookmarkEnd w:id="67"/>
    </w:p>
    <w:p w14:paraId="6393D69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2F6783C0">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26D296C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64715FCF">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11ED7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75DB6F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2BAE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C43C6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C1C2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735C5E7">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9C7BF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bottom"/>
          </w:tcPr>
          <w:p w14:paraId="487CAC9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6F80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7A9AF47">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8FD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904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6B6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2F0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731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ACE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68A3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FA53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EAB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753DBA4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B48C9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3FD17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A67DD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EDB10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CAC93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02E3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20F03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3F85A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FB8EB3">
            <w:pPr>
              <w:rPr>
                <w:rFonts w:ascii="Times New Roman" w:hAnsi="Times New Roman" w:eastAsia="Times New Roman" w:cs="Times New Roman"/>
                <w:b w:val="0"/>
                <w:bCs w:val="0"/>
                <w:i w:val="0"/>
                <w:iCs w:val="0"/>
                <w:smallCaps w:val="0"/>
                <w:color w:val="000000"/>
                <w:kern w:val="0"/>
                <w:sz w:val="26"/>
                <w:szCs w:val="26"/>
              </w:rPr>
            </w:pPr>
          </w:p>
        </w:tc>
      </w:tr>
      <w:tr w14:paraId="2634674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598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D66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A447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5DD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553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612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6B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3A1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9C2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5707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031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92E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1D8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CAC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95F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A32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D85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873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973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C1AA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7B7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57C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185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C0E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BB7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46F4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CF7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C6B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ABC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E34EC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E8E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28C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2C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023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F8D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1DC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F33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C00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4AD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DD0C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AE38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D92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A87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0E3E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65E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CBC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18A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F46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E81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B32FA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3D1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D3A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2D7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5D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161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F7B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7A8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811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147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819AC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B88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D91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BD0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B2D4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003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F00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00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222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677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BCA36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9C3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5F2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7C6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A8B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34E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06A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72C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218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FD1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58F61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B8C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AE1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2AD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60B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638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9F1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F45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80D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B2B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4E9CB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73B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044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D71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814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FDA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0DA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C222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2B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ADC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32234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A0F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8C8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34B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9A79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523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7118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EE1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642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5AD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98D25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4698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592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493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6FB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B1C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A49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083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821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94F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9721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67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73A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A6E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544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D60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C7C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AE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BBE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ED7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5296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F62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99F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10F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53A7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3CC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99C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F95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FAB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655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CB041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827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24B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E4B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CA4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505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7C7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EF9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D49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A1C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F2B8C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64B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011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3BC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C5D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D22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2CF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FF8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D79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A20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0409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E25F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DA0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7F7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45A7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BDE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B92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EF8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C1A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BD1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82A1A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5AA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5F0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935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B8F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2E8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45F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A3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BB7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B7A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EB1ED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D2F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EB2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EDD9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A9E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B4F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6D1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706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666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EEAD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6748C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40C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6FE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D2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419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18F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5119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C21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3CC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6D4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572F8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30C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50D2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229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970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61E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F21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3D4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36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CFA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8BC0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D01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830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4E9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590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94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062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152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38D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B809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396D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68D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FDC8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451F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947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A97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648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17A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A05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AEB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0BD04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60F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8052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ED5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840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E81E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467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FEC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3CB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5F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11B6D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700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743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56435">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AA3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DD8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7D0EA">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8A2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4DA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8E44AD">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6493A6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1F4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8ED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4F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327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515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706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D64E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34A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857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49A60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BDE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B02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05C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1F2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1CC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9C9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97C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76D6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148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026D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22C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BB1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0A0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52B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791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62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1B8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0F9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BF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097DD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31B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6A0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D1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7B0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BA9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780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376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8C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9AC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CD60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887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35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066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41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D39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E26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1EA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506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431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D3E34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512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C1A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8BA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D93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915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DF7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1C8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8CA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E1E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5E46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DD4F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B6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D995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A35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2CD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6B3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53B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DF4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825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49E5136">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45D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197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DCE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EA3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460D62">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08D96E4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5D70046E">
      <w:pPr>
        <w:sectPr>
          <w:footerReference r:id="rId13" w:type="default"/>
          <w:pgSz w:w="16383" w:h="11906" w:orient="landscape"/>
          <w:pgMar w:top="1134" w:right="720" w:bottom="1134" w:left="720" w:header="720" w:footer="720" w:gutter="0"/>
          <w:cols w:space="720" w:num="1"/>
        </w:sectPr>
      </w:pPr>
    </w:p>
    <w:p w14:paraId="2BBD4A86">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09FA2F9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8" w:name="_Toc256000111"/>
      <w:bookmarkStart w:id="69" w:name="_Toc256000061"/>
      <w:bookmarkStart w:id="70" w:name="_Toc256000086"/>
      <w:bookmarkStart w:id="71" w:name="_Toc256000136"/>
      <w:bookmarkStart w:id="72" w:name="_Toc256000036"/>
      <w:bookmarkStart w:id="73" w:name="_Toc256000011"/>
      <w:r>
        <w:rPr>
          <w:rFonts w:ascii="黑体" w:hAnsi="黑体" w:eastAsia="黑体" w:cs="黑体"/>
          <w:b w:val="0"/>
          <w:bCs w:val="0"/>
          <w:spacing w:val="0"/>
        </w:rPr>
        <w:t>七、一般公共预算财政拨款“三公”经费支出决算表</w:t>
      </w:r>
      <w:bookmarkEnd w:id="68"/>
      <w:bookmarkEnd w:id="69"/>
      <w:bookmarkEnd w:id="70"/>
      <w:bookmarkEnd w:id="71"/>
      <w:bookmarkEnd w:id="72"/>
      <w:bookmarkEnd w:id="73"/>
    </w:p>
    <w:p w14:paraId="20C5C18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5053"/>
        <w:gridCol w:w="5053"/>
        <w:gridCol w:w="5053"/>
      </w:tblGrid>
      <w:tr w14:paraId="5707C353">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0C3BE8A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801910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619482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833B6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14EC40D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6C5DC4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center"/>
          </w:tcPr>
          <w:p w14:paraId="74C4C8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588099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C72C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1D8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B21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7FAD28F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1F0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C22D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A6D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3349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739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D20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E72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B6454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548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ADB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CCC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EB733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433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4DE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32D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577A0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804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3D4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723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4CAE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F9D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65E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9C3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5F3C70">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583144F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216EA824">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7E1DEE6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31403AE2">
      <w:pPr>
        <w:sectPr>
          <w:footerReference r:id="rId14" w:type="default"/>
          <w:pgSz w:w="16383" w:h="11906" w:orient="landscape"/>
          <w:pgMar w:top="1134" w:right="720" w:bottom="1134" w:left="720" w:header="720" w:footer="720" w:gutter="0"/>
          <w:cols w:space="720" w:num="1"/>
        </w:sectPr>
      </w:pPr>
    </w:p>
    <w:p w14:paraId="0B27E63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4" w:name="_Toc256000012"/>
      <w:bookmarkStart w:id="75" w:name="_Toc256000087"/>
      <w:bookmarkStart w:id="76" w:name="_Toc256000112"/>
      <w:bookmarkStart w:id="77" w:name="_Toc256000062"/>
      <w:bookmarkStart w:id="78" w:name="_Toc256000137"/>
      <w:bookmarkStart w:id="79" w:name="_Toc256000037"/>
      <w:r>
        <w:rPr>
          <w:rFonts w:ascii="黑体" w:hAnsi="黑体" w:eastAsia="黑体" w:cs="黑体"/>
          <w:b w:val="0"/>
          <w:bCs w:val="0"/>
          <w:spacing w:val="0"/>
        </w:rPr>
        <w:t>八、政府性基金预算财政拨款收入支出决算表</w:t>
      </w:r>
      <w:bookmarkEnd w:id="74"/>
      <w:bookmarkEnd w:id="75"/>
      <w:bookmarkEnd w:id="76"/>
      <w:bookmarkEnd w:id="77"/>
      <w:bookmarkEnd w:id="78"/>
      <w:bookmarkEnd w:id="79"/>
    </w:p>
    <w:p w14:paraId="16C8723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C2A1F51">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236018D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4B43B76D">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5F737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30E435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BC59F8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B0FCDE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BA127D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BBB51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1CFFAA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22848A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6EA5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27148B85">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72D994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bottom"/>
          </w:tcPr>
          <w:p w14:paraId="386688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FAC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3B82D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42E3519">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DA9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AAF2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8DD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15D8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325D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1025763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726F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8D6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72DD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D9A2F6">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8FD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0D5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1F40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98CB8B">
            <w:pPr>
              <w:rPr>
                <w:rFonts w:ascii="Times New Roman" w:hAnsi="Times New Roman" w:eastAsia="Times New Roman" w:cs="Times New Roman"/>
                <w:b w:val="0"/>
                <w:bCs w:val="0"/>
                <w:i w:val="0"/>
                <w:iCs w:val="0"/>
                <w:smallCaps w:val="0"/>
                <w:color w:val="000000"/>
                <w:kern w:val="0"/>
                <w:sz w:val="26"/>
                <w:szCs w:val="26"/>
              </w:rPr>
            </w:pPr>
          </w:p>
        </w:tc>
      </w:tr>
      <w:tr w14:paraId="6748AE01">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217E24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F21D8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99060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9A026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2D94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F0338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7D86A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D783C8">
            <w:pPr>
              <w:rPr>
                <w:rFonts w:ascii="Times New Roman" w:hAnsi="Times New Roman" w:eastAsia="Times New Roman" w:cs="Times New Roman"/>
                <w:b w:val="0"/>
                <w:bCs w:val="0"/>
                <w:i w:val="0"/>
                <w:iCs w:val="0"/>
                <w:smallCaps w:val="0"/>
                <w:color w:val="000000"/>
                <w:kern w:val="0"/>
                <w:sz w:val="26"/>
                <w:szCs w:val="26"/>
              </w:rPr>
            </w:pPr>
          </w:p>
        </w:tc>
      </w:tr>
      <w:tr w14:paraId="3FDF9D80">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722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F9A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5AD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1E6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309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71A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D76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632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922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E2C7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1D24906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F8592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E635F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2A76FA">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8FC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219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B30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65D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045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498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F60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A0057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F60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E97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380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5F7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F01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87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3D4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B3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BF53488">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5F213E3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2EFD15A4">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F05A20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30BCA86E">
      <w:pPr>
        <w:sectPr>
          <w:footerReference r:id="rId15" w:type="default"/>
          <w:pgSz w:w="16383" w:h="11906" w:orient="landscape"/>
          <w:pgMar w:top="1134" w:right="720" w:bottom="1134" w:left="720" w:header="720" w:footer="720" w:gutter="0"/>
          <w:cols w:space="720" w:num="1"/>
        </w:sectPr>
      </w:pPr>
    </w:p>
    <w:p w14:paraId="0C0BA781">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spacing w:val="0"/>
          <w:kern w:val="0"/>
          <w:sz w:val="32"/>
          <w:szCs w:val="32"/>
        </w:rPr>
        <w:t>九、国有资本经营预算财政拨款支出决算表</w:t>
      </w:r>
    </w:p>
    <w:p w14:paraId="32D3086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385CF39A">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6913CA1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4C27645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7CE921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7159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56EA4C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37C8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5EDAFAFF">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78FA75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编制单位：仙游县蒋隔水库管理中心</w:t>
            </w:r>
          </w:p>
        </w:tc>
        <w:tc>
          <w:tcPr>
            <w:tcW w:w="21600" w:type="dxa"/>
            <w:noWrap w:val="0"/>
            <w:tcMar>
              <w:top w:w="20" w:type="dxa"/>
              <w:left w:w="108" w:type="dxa"/>
              <w:bottom w:w="20" w:type="dxa"/>
              <w:right w:w="108" w:type="dxa"/>
            </w:tcMar>
            <w:vAlign w:val="center"/>
          </w:tcPr>
          <w:p w14:paraId="7F35A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26CA39E">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72E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F26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D7B1030">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7F4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61F4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AA4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E30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B31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4CDF1260">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E6E64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5C749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9A090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C0E77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5E38F1">
            <w:pPr>
              <w:rPr>
                <w:rFonts w:ascii="Times New Roman" w:hAnsi="Times New Roman" w:eastAsia="Times New Roman" w:cs="Times New Roman"/>
                <w:b w:val="0"/>
                <w:bCs w:val="0"/>
                <w:i w:val="0"/>
                <w:iCs w:val="0"/>
                <w:smallCaps w:val="0"/>
                <w:color w:val="000000"/>
                <w:kern w:val="0"/>
                <w:sz w:val="26"/>
                <w:szCs w:val="26"/>
              </w:rPr>
            </w:pPr>
          </w:p>
        </w:tc>
      </w:tr>
      <w:tr w14:paraId="0B7C6664">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46DAB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B68F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8F2C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7C401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83AFEB">
            <w:pPr>
              <w:rPr>
                <w:rFonts w:ascii="Times New Roman" w:hAnsi="Times New Roman" w:eastAsia="Times New Roman" w:cs="Times New Roman"/>
                <w:b w:val="0"/>
                <w:bCs w:val="0"/>
                <w:i w:val="0"/>
                <w:iCs w:val="0"/>
                <w:smallCaps w:val="0"/>
                <w:color w:val="000000"/>
                <w:kern w:val="0"/>
                <w:sz w:val="26"/>
                <w:szCs w:val="26"/>
              </w:rPr>
            </w:pPr>
          </w:p>
        </w:tc>
      </w:tr>
      <w:tr w14:paraId="1725F419">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D27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FB6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F2D0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4F03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7E97D349">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28F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E3F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55E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8E2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7ED76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AF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666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9A7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91CB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B9A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BDC8667">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6E9ED09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0BCCBA9E">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903455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00487AC6">
      <w:pPr>
        <w:sectPr>
          <w:footerReference r:id="rId16" w:type="default"/>
          <w:pgSz w:w="16383" w:h="11906" w:orient="landscape"/>
          <w:pgMar w:top="1134" w:right="720" w:bottom="1134" w:left="720" w:header="720" w:footer="720" w:gutter="0"/>
          <w:cols w:space="720" w:num="1"/>
        </w:sectPr>
      </w:pPr>
    </w:p>
    <w:p w14:paraId="3F4407E9">
      <w:pPr>
        <w:pStyle w:val="30"/>
        <w:widowControl/>
        <w:spacing w:before="240" w:after="240"/>
        <w:jc w:val="left"/>
        <w:rPr>
          <w:rFonts w:ascii="Times New Roman" w:hAnsi="Times New Roman" w:eastAsia="Times New Roman" w:cs="Times New Roman"/>
          <w:kern w:val="0"/>
          <w:sz w:val="24"/>
        </w:rPr>
      </w:pPr>
    </w:p>
    <w:p w14:paraId="20A667A1">
      <w:pPr>
        <w:pStyle w:val="30"/>
        <w:widowControl/>
        <w:spacing w:before="240" w:after="240"/>
        <w:jc w:val="left"/>
        <w:rPr>
          <w:rFonts w:ascii="Times New Roman" w:hAnsi="Times New Roman" w:eastAsia="Times New Roman" w:cs="Times New Roman"/>
          <w:kern w:val="0"/>
          <w:sz w:val="24"/>
        </w:rPr>
      </w:pPr>
    </w:p>
    <w:p w14:paraId="28A65189">
      <w:pPr>
        <w:pStyle w:val="30"/>
        <w:widowControl/>
        <w:spacing w:before="240" w:after="240"/>
        <w:jc w:val="left"/>
        <w:rPr>
          <w:rFonts w:ascii="Times New Roman" w:hAnsi="Times New Roman" w:eastAsia="Times New Roman" w:cs="Times New Roman"/>
          <w:kern w:val="0"/>
          <w:sz w:val="24"/>
        </w:rPr>
      </w:pPr>
    </w:p>
    <w:p w14:paraId="4596EA6C">
      <w:pPr>
        <w:pStyle w:val="30"/>
        <w:widowControl/>
        <w:spacing w:before="240" w:after="240"/>
        <w:jc w:val="left"/>
        <w:rPr>
          <w:rFonts w:ascii="Times New Roman" w:hAnsi="Times New Roman" w:eastAsia="Times New Roman" w:cs="Times New Roman"/>
          <w:kern w:val="0"/>
          <w:sz w:val="24"/>
        </w:rPr>
      </w:pPr>
    </w:p>
    <w:p w14:paraId="772243C2">
      <w:pPr>
        <w:pStyle w:val="30"/>
        <w:widowControl/>
        <w:spacing w:before="240" w:after="240"/>
        <w:jc w:val="left"/>
        <w:rPr>
          <w:rFonts w:ascii="Times New Roman" w:hAnsi="Times New Roman" w:eastAsia="Times New Roman" w:cs="Times New Roman"/>
          <w:kern w:val="0"/>
          <w:sz w:val="24"/>
        </w:rPr>
      </w:pPr>
    </w:p>
    <w:p w14:paraId="0E0306F5">
      <w:pPr>
        <w:pStyle w:val="30"/>
        <w:widowControl/>
        <w:spacing w:before="240" w:after="240"/>
        <w:jc w:val="left"/>
        <w:rPr>
          <w:rFonts w:ascii="Times New Roman" w:hAnsi="Times New Roman" w:eastAsia="Times New Roman" w:cs="Times New Roman"/>
          <w:kern w:val="0"/>
          <w:sz w:val="24"/>
        </w:rPr>
      </w:pPr>
    </w:p>
    <w:p w14:paraId="02FC537C">
      <w:pPr>
        <w:pStyle w:val="30"/>
        <w:widowControl/>
        <w:spacing w:before="240" w:after="240"/>
        <w:jc w:val="left"/>
        <w:rPr>
          <w:rFonts w:ascii="Times New Roman" w:hAnsi="Times New Roman" w:eastAsia="Times New Roman" w:cs="Times New Roman"/>
          <w:kern w:val="0"/>
          <w:sz w:val="24"/>
        </w:rPr>
      </w:pPr>
    </w:p>
    <w:p w14:paraId="41CB0BBB">
      <w:pPr>
        <w:pStyle w:val="30"/>
        <w:widowControl/>
        <w:spacing w:before="240" w:after="240"/>
        <w:jc w:val="left"/>
        <w:rPr>
          <w:rFonts w:ascii="Times New Roman" w:hAnsi="Times New Roman" w:eastAsia="Times New Roman" w:cs="Times New Roman"/>
          <w:kern w:val="0"/>
          <w:sz w:val="24"/>
        </w:rPr>
      </w:pPr>
    </w:p>
    <w:p w14:paraId="0386E7F7">
      <w:pPr>
        <w:pStyle w:val="30"/>
        <w:widowControl/>
        <w:spacing w:before="240" w:after="240"/>
        <w:jc w:val="left"/>
        <w:rPr>
          <w:rFonts w:ascii="Times New Roman" w:hAnsi="Times New Roman" w:eastAsia="Times New Roman" w:cs="Times New Roman"/>
          <w:kern w:val="0"/>
          <w:sz w:val="24"/>
        </w:rPr>
      </w:pPr>
    </w:p>
    <w:p w14:paraId="20E51A64">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0" w:name="_Toc256000038"/>
      <w:bookmarkStart w:id="81" w:name="_Toc256000113"/>
      <w:bookmarkStart w:id="82" w:name="_Toc256000138"/>
      <w:bookmarkStart w:id="83" w:name="_Toc256000088"/>
      <w:bookmarkStart w:id="84" w:name="_Toc256000063"/>
      <w:bookmarkStart w:id="85" w:name="_Toc256000013"/>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0"/>
      <w:bookmarkEnd w:id="81"/>
      <w:bookmarkEnd w:id="82"/>
      <w:bookmarkEnd w:id="83"/>
      <w:bookmarkEnd w:id="84"/>
      <w:bookmarkEnd w:id="85"/>
    </w:p>
    <w:p w14:paraId="14386481">
      <w:pPr>
        <w:sectPr>
          <w:footerReference r:id="rId17" w:type="default"/>
          <w:pgSz w:w="11906" w:h="16838"/>
          <w:pgMar w:top="1440" w:right="720" w:bottom="1440" w:left="720" w:header="720" w:footer="720" w:gutter="0"/>
          <w:cols w:space="720" w:num="1"/>
        </w:sectPr>
      </w:pPr>
    </w:p>
    <w:p w14:paraId="6485214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EBFC65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6" w:name="_Toc256000114"/>
      <w:bookmarkStart w:id="87" w:name="_Toc256000139"/>
      <w:bookmarkStart w:id="88" w:name="_Toc256000014"/>
      <w:bookmarkStart w:id="89" w:name="_Toc256000089"/>
      <w:bookmarkStart w:id="90" w:name="_Toc256000039"/>
      <w:bookmarkStart w:id="91" w:name="_Toc256000064"/>
      <w:r>
        <w:rPr>
          <w:rFonts w:ascii="黑体" w:hAnsi="黑体" w:eastAsia="黑体" w:cs="黑体"/>
          <w:b w:val="0"/>
          <w:bCs w:val="0"/>
          <w:spacing w:val="0"/>
        </w:rPr>
        <w:t>一、收入支出决算总体情况说明</w:t>
      </w:r>
      <w:bookmarkEnd w:id="86"/>
      <w:bookmarkEnd w:id="87"/>
      <w:bookmarkEnd w:id="88"/>
      <w:bookmarkEnd w:id="89"/>
      <w:bookmarkEnd w:id="90"/>
      <w:bookmarkEnd w:id="91"/>
    </w:p>
    <w:p w14:paraId="036EE59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784B2D4F">
      <w:pPr>
        <w:tabs>
          <w:tab w:val="left" w:pos="7513"/>
        </w:tabs>
        <w:adjustRightInd w:val="0"/>
        <w:snapToGrid w:val="0"/>
        <w:spacing w:line="560" w:lineRule="exact"/>
        <w:ind w:firstLine="640" w:firstLineChars="200"/>
        <w:rPr>
          <w:rFonts w:ascii="仿宋" w:hAnsi="仿宋" w:eastAsia="仿宋" w:cs="仿宋_GB2312"/>
          <w:sz w:val="32"/>
          <w:szCs w:val="32"/>
        </w:rPr>
      </w:pPr>
      <w:r>
        <w:rPr>
          <w:rFonts w:ascii="仿宋_GB2312" w:hAnsi="仿宋_GB2312" w:eastAsia="仿宋_GB2312" w:cs="仿宋_GB2312"/>
          <w:spacing w:val="0"/>
          <w:kern w:val="0"/>
          <w:sz w:val="32"/>
          <w:szCs w:val="32"/>
        </w:rPr>
        <w:t>2024年度本单位收入总计81.62万元，支出总计81.62万元，与上年决算数相比，各增加5.74万元，各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7.57%。主要是</w:t>
      </w:r>
      <w:r>
        <w:rPr>
          <w:rFonts w:hint="eastAsia" w:ascii="仿宋" w:hAnsi="仿宋" w:eastAsia="仿宋" w:cs="仿宋_GB2312"/>
          <w:sz w:val="32"/>
          <w:szCs w:val="32"/>
        </w:rPr>
        <w:t>原水费</w:t>
      </w:r>
      <w:r>
        <w:rPr>
          <w:rFonts w:ascii="仿宋" w:hAnsi="仿宋" w:eastAsia="仿宋" w:cs="仿宋_GB2312"/>
          <w:sz w:val="32"/>
          <w:szCs w:val="32"/>
        </w:rPr>
        <w:t>收入</w:t>
      </w:r>
      <w:r>
        <w:rPr>
          <w:rFonts w:hint="eastAsia" w:ascii="仿宋" w:hAnsi="仿宋" w:eastAsia="仿宋" w:cs="仿宋_GB2312"/>
          <w:sz w:val="32"/>
          <w:szCs w:val="32"/>
          <w:lang w:val="en-US" w:eastAsia="zh-CN"/>
        </w:rPr>
        <w:t>增加</w:t>
      </w:r>
      <w:r>
        <w:rPr>
          <w:rFonts w:hint="eastAsia" w:ascii="仿宋" w:hAnsi="仿宋" w:eastAsia="仿宋" w:cs="仿宋_GB2312"/>
          <w:sz w:val="32"/>
          <w:szCs w:val="32"/>
        </w:rPr>
        <w:t>。</w:t>
      </w:r>
    </w:p>
    <w:p w14:paraId="7A938600">
      <w:pPr>
        <w:pStyle w:val="30"/>
        <w:widowControl/>
        <w:spacing w:before="100" w:after="100" w:line="560" w:lineRule="atLeast"/>
        <w:ind w:left="100" w:right="100" w:firstLine="640"/>
        <w:jc w:val="left"/>
        <w:rPr>
          <w:rFonts w:ascii="Times New Roman" w:hAnsi="Times New Roman" w:eastAsia="Times New Roman" w:cs="Times New Roman"/>
          <w:kern w:val="0"/>
          <w:sz w:val="24"/>
        </w:rPr>
      </w:pPr>
    </w:p>
    <w:p w14:paraId="54C8A39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06B47E8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2024年度收入81.62万元，比上年决算数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5.74万元，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7.57%，具体情况如下：</w:t>
      </w:r>
    </w:p>
    <w:p w14:paraId="633CDA1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1.一般公共预算财政拨款收入0万元。</w:t>
      </w:r>
    </w:p>
    <w:p w14:paraId="13626A8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3771F4B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6E04DC4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59DB26F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5.事业收入81.62万元。</w:t>
      </w:r>
    </w:p>
    <w:p w14:paraId="2BE6EBE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0540CDE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20571FC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700AA51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0429B93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2024年度支出81.62万元，比上年决算数增加5.74万元，增长7.57%，具体情况如下：</w:t>
      </w:r>
    </w:p>
    <w:p w14:paraId="202CD63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1.基本支出81.62万元。其中，人员支出74.90万元，公用支出6.73万元。</w:t>
      </w:r>
    </w:p>
    <w:p w14:paraId="12E33E5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2D9C837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5556AC7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3CDF724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2833BCF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2" w:name="_Toc256000090"/>
      <w:bookmarkStart w:id="93" w:name="_Toc256000140"/>
      <w:bookmarkStart w:id="94" w:name="_Toc256000015"/>
      <w:bookmarkStart w:id="95" w:name="_Toc256000040"/>
      <w:bookmarkStart w:id="96" w:name="_Toc256000065"/>
      <w:bookmarkStart w:id="97" w:name="_Toc256000115"/>
      <w:r>
        <w:rPr>
          <w:rFonts w:ascii="黑体" w:hAnsi="黑体" w:eastAsia="黑体" w:cs="黑体"/>
          <w:b w:val="0"/>
          <w:bCs w:val="0"/>
          <w:spacing w:val="0"/>
        </w:rPr>
        <w:t>二、财政拨款收入支出决算总体情况说明</w:t>
      </w:r>
      <w:bookmarkEnd w:id="92"/>
      <w:bookmarkEnd w:id="93"/>
      <w:bookmarkEnd w:id="94"/>
      <w:bookmarkEnd w:id="95"/>
      <w:bookmarkEnd w:id="96"/>
      <w:bookmarkEnd w:id="97"/>
    </w:p>
    <w:p w14:paraId="570EF988">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2024年度财政拨款收入总计0万元，支出总计0万元，与上年决算数相比，各增加0万元，增长0%</w:t>
      </w:r>
      <w:r>
        <w:rPr>
          <w:rFonts w:hint="eastAsia" w:ascii="仿宋_GB2312" w:hAnsi="仿宋_GB2312" w:eastAsia="仿宋_GB2312" w:cs="仿宋_GB2312"/>
          <w:spacing w:val="0"/>
          <w:kern w:val="0"/>
          <w:sz w:val="32"/>
          <w:szCs w:val="32"/>
          <w:lang w:eastAsia="zh-CN"/>
        </w:rPr>
        <w:t>。</w:t>
      </w:r>
    </w:p>
    <w:p w14:paraId="46DA9EB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8" w:name="_Toc256000016"/>
      <w:bookmarkStart w:id="99" w:name="_Toc256000141"/>
      <w:bookmarkStart w:id="100" w:name="_Toc256000066"/>
      <w:bookmarkStart w:id="101" w:name="_Toc256000041"/>
      <w:bookmarkStart w:id="102" w:name="_Toc256000116"/>
      <w:bookmarkStart w:id="103" w:name="_Toc256000091"/>
      <w:r>
        <w:rPr>
          <w:rFonts w:ascii="黑体" w:hAnsi="黑体" w:eastAsia="黑体" w:cs="黑体"/>
          <w:b w:val="0"/>
          <w:bCs w:val="0"/>
          <w:spacing w:val="0"/>
        </w:rPr>
        <w:t>三、一般公共预算财政拨款支出决算情况说明</w:t>
      </w:r>
      <w:bookmarkEnd w:id="98"/>
      <w:bookmarkEnd w:id="99"/>
      <w:bookmarkEnd w:id="100"/>
      <w:bookmarkEnd w:id="101"/>
      <w:bookmarkEnd w:id="102"/>
      <w:bookmarkEnd w:id="103"/>
    </w:p>
    <w:p w14:paraId="60521FC7">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2024年一般公共预算财政拨款支出0万元，比上年决算数增加0万元，增长0%，</w:t>
      </w:r>
      <w:r>
        <w:rPr>
          <w:rFonts w:ascii="仿宋_GB2312" w:hAnsi="仿宋_GB2312" w:eastAsia="仿宋_GB2312" w:cs="仿宋_GB2312"/>
          <w:kern w:val="0"/>
          <w:sz w:val="32"/>
          <w:szCs w:val="32"/>
        </w:rPr>
        <w:t>本单位2024年度没有使用一般公共预算财政拨款安排的支出</w:t>
      </w:r>
      <w:r>
        <w:rPr>
          <w:rFonts w:hint="eastAsia" w:ascii="仿宋_GB2312" w:hAnsi="仿宋_GB2312" w:eastAsia="仿宋_GB2312" w:cs="仿宋_GB2312"/>
          <w:kern w:val="0"/>
          <w:sz w:val="32"/>
          <w:szCs w:val="32"/>
          <w:lang w:eastAsia="zh-CN"/>
        </w:rPr>
        <w:t>。</w:t>
      </w:r>
    </w:p>
    <w:p w14:paraId="697EB5B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4" w:name="_Toc256000017"/>
      <w:bookmarkStart w:id="105" w:name="_Toc256000067"/>
      <w:bookmarkStart w:id="106" w:name="_Toc256000042"/>
      <w:bookmarkStart w:id="107" w:name="_Toc256000092"/>
      <w:bookmarkStart w:id="108" w:name="_Toc256000117"/>
      <w:bookmarkStart w:id="109" w:name="_Toc256000142"/>
      <w:r>
        <w:rPr>
          <w:rFonts w:ascii="黑体" w:hAnsi="黑体" w:eastAsia="黑体" w:cs="黑体"/>
          <w:b w:val="0"/>
          <w:bCs w:val="0"/>
          <w:spacing w:val="0"/>
        </w:rPr>
        <w:t>四、政府性基金预算财政拨款支出决算情况说明</w:t>
      </w:r>
      <w:bookmarkEnd w:id="104"/>
      <w:bookmarkEnd w:id="105"/>
      <w:bookmarkEnd w:id="106"/>
      <w:bookmarkEnd w:id="107"/>
      <w:bookmarkEnd w:id="108"/>
      <w:bookmarkEnd w:id="109"/>
    </w:p>
    <w:p w14:paraId="70912E2F">
      <w:pPr>
        <w:pStyle w:val="30"/>
        <w:widowControl/>
        <w:spacing w:before="100" w:after="100" w:line="560" w:lineRule="atLeast"/>
        <w:ind w:left="100"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w:t>
      </w:r>
      <w:r>
        <w:rPr>
          <w:rFonts w:ascii="仿宋_GB2312" w:hAnsi="仿宋_GB2312" w:eastAsia="仿宋_GB2312" w:cs="仿宋_GB2312"/>
          <w:kern w:val="0"/>
          <w:sz w:val="32"/>
          <w:szCs w:val="32"/>
        </w:rPr>
        <w:t>本单位2024年度没有使用政府性基金预算财政拨款安排的支出。</w:t>
      </w:r>
    </w:p>
    <w:p w14:paraId="566C711F">
      <w:pPr>
        <w:pStyle w:val="30"/>
        <w:widowControl/>
        <w:spacing w:before="100" w:after="100" w:line="560" w:lineRule="atLeast"/>
        <w:ind w:left="100" w:right="100" w:firstLine="640"/>
        <w:jc w:val="left"/>
        <w:rPr>
          <w:rFonts w:ascii="Times New Roman" w:hAnsi="Times New Roman" w:eastAsia="Times New Roman" w:cs="Times New Roman"/>
          <w:kern w:val="0"/>
          <w:sz w:val="24"/>
        </w:rPr>
      </w:pPr>
    </w:p>
    <w:p w14:paraId="44C1125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0" w:name="_Toc256000018"/>
      <w:bookmarkStart w:id="111" w:name="_Toc256000068"/>
      <w:bookmarkStart w:id="112" w:name="_Toc256000093"/>
      <w:bookmarkStart w:id="113" w:name="_Toc256000043"/>
      <w:bookmarkStart w:id="114" w:name="_Toc256000143"/>
      <w:bookmarkStart w:id="115" w:name="_Toc256000118"/>
      <w:r>
        <w:rPr>
          <w:rFonts w:ascii="黑体" w:hAnsi="黑体" w:eastAsia="黑体" w:cs="黑体"/>
          <w:b w:val="0"/>
          <w:bCs w:val="0"/>
          <w:spacing w:val="0"/>
        </w:rPr>
        <w:t>五、国有资本经营预算财政拨款支出决算情况说明</w:t>
      </w:r>
      <w:bookmarkEnd w:id="110"/>
      <w:bookmarkEnd w:id="111"/>
      <w:bookmarkEnd w:id="112"/>
      <w:bookmarkEnd w:id="113"/>
      <w:bookmarkEnd w:id="114"/>
      <w:bookmarkEnd w:id="115"/>
    </w:p>
    <w:p w14:paraId="767EFFB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w:t>
      </w:r>
      <w:r>
        <w:rPr>
          <w:rFonts w:ascii="仿宋_GB2312" w:hAnsi="仿宋_GB2312" w:eastAsia="仿宋_GB2312" w:cs="仿宋_GB2312"/>
          <w:kern w:val="0"/>
          <w:sz w:val="32"/>
          <w:szCs w:val="32"/>
        </w:rPr>
        <w:t>本单位2024年度没有使用国有资本经营预算财政拨款安排的支出。</w:t>
      </w:r>
    </w:p>
    <w:p w14:paraId="49DCCB13">
      <w:pPr>
        <w:pStyle w:val="30"/>
        <w:widowControl/>
        <w:spacing w:before="100" w:after="100" w:line="560" w:lineRule="atLeast"/>
        <w:ind w:left="100" w:right="100" w:firstLine="0"/>
        <w:jc w:val="left"/>
        <w:rPr>
          <w:rFonts w:ascii="Times New Roman" w:hAnsi="Times New Roman" w:eastAsia="Times New Roman" w:cs="Times New Roman"/>
          <w:kern w:val="0"/>
          <w:sz w:val="24"/>
        </w:rPr>
      </w:pPr>
    </w:p>
    <w:p w14:paraId="443A7F4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6" w:name="_Toc256000119"/>
      <w:bookmarkStart w:id="117" w:name="_Toc256000044"/>
      <w:bookmarkStart w:id="118" w:name="_Toc256000094"/>
      <w:bookmarkStart w:id="119" w:name="_Toc256000144"/>
      <w:bookmarkStart w:id="120" w:name="_Toc256000069"/>
      <w:bookmarkStart w:id="121" w:name="_Toc256000019"/>
      <w:r>
        <w:rPr>
          <w:rFonts w:ascii="黑体" w:hAnsi="黑体" w:eastAsia="黑体" w:cs="黑体"/>
          <w:b w:val="0"/>
          <w:bCs w:val="0"/>
          <w:spacing w:val="0"/>
        </w:rPr>
        <w:t>六、一般公共预算财政拨款基本支出决算情况说明</w:t>
      </w:r>
      <w:bookmarkEnd w:id="116"/>
      <w:bookmarkEnd w:id="117"/>
      <w:bookmarkEnd w:id="118"/>
      <w:bookmarkEnd w:id="119"/>
      <w:bookmarkEnd w:id="120"/>
      <w:bookmarkEnd w:id="121"/>
    </w:p>
    <w:p w14:paraId="21F9690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2024年度一般公共预算财政拨款基本支出0万元，其中：</w:t>
      </w:r>
    </w:p>
    <w:p w14:paraId="0ECA63D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63629C8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E5CBFC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2" w:name="_Toc256000045"/>
      <w:bookmarkStart w:id="123" w:name="_Toc256000120"/>
      <w:bookmarkStart w:id="124" w:name="_Toc256000020"/>
      <w:bookmarkStart w:id="125" w:name="_Toc256000070"/>
      <w:bookmarkStart w:id="126" w:name="_Toc256000095"/>
      <w:bookmarkStart w:id="127" w:name="_Toc256000145"/>
      <w:r>
        <w:rPr>
          <w:rFonts w:ascii="黑体" w:hAnsi="黑体" w:eastAsia="黑体" w:cs="黑体"/>
          <w:b w:val="0"/>
          <w:bCs w:val="0"/>
          <w:spacing w:val="0"/>
        </w:rPr>
        <w:t>七、一般公共预算拨款“三公”经费支出决算情况说明</w:t>
      </w:r>
      <w:bookmarkEnd w:id="122"/>
      <w:bookmarkEnd w:id="123"/>
      <w:bookmarkEnd w:id="124"/>
      <w:bookmarkEnd w:id="125"/>
      <w:bookmarkEnd w:id="126"/>
      <w:bookmarkEnd w:id="127"/>
    </w:p>
    <w:p w14:paraId="2AD8DAE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2024年度一般公共预算拨款“三公”经费支出0万元，完成全年预算的0%；较上年增加0万元，增长0%。主要原因是</w:t>
      </w:r>
      <w:r>
        <w:rPr>
          <w:rFonts w:hint="eastAsia" w:ascii="仿宋" w:hAnsi="仿宋" w:eastAsia="仿宋" w:cs="仿宋_GB2312"/>
          <w:sz w:val="32"/>
          <w:szCs w:val="32"/>
        </w:rPr>
        <w:t>无</w:t>
      </w:r>
      <w:r>
        <w:rPr>
          <w:rFonts w:ascii="仿宋" w:hAnsi="仿宋" w:eastAsia="仿宋" w:cs="仿宋_GB2312"/>
          <w:sz w:val="32"/>
          <w:szCs w:val="32"/>
        </w:rPr>
        <w:t>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45ADFC4D">
      <w:pPr>
        <w:pStyle w:val="30"/>
        <w:widowControl/>
        <w:spacing w:before="100" w:after="100" w:line="560" w:lineRule="atLeast"/>
        <w:ind w:left="100" w:right="100" w:firstLine="64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（一）因公出国（境）费支出0万元，完成全年预算的0%；较上年增加0万元，增长0%。全年安排本单位组织的出国团组0个，参加其他单位出国团组个；全年因公出国（境）累计0 人次。与上年决算持平</w:t>
      </w:r>
      <w:r>
        <w:rPr>
          <w:rFonts w:hint="eastAsia" w:ascii="仿宋_GB2312" w:hAnsi="仿宋_GB2312" w:eastAsia="仿宋_GB2312" w:cs="仿宋_GB2312"/>
          <w:kern w:val="0"/>
          <w:sz w:val="32"/>
          <w:szCs w:val="32"/>
          <w:lang w:eastAsia="zh-CN"/>
        </w:rPr>
        <w:t>。</w:t>
      </w:r>
    </w:p>
    <w:p w14:paraId="57089B9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（二）公务用车购置及运行费支出0万元，完成全年预算的0%；较上年</w:t>
      </w:r>
      <w:r>
        <w:rPr>
          <w:rFonts w:ascii="仿宋_GB2312" w:hAnsi="仿宋_GB2312" w:eastAsia="仿宋_GB2312" w:cs="仿宋_GB2312"/>
          <w:kern w:val="0"/>
          <w:sz w:val="32"/>
          <w:szCs w:val="32"/>
        </w:rPr>
        <w:t>增加0万元，增长0%。其中：</w:t>
      </w:r>
    </w:p>
    <w:p w14:paraId="6218DE1B">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公务用车购置费支出0万元，完成全年预算的0%；较上年增加0万元，增长0%。2024年公务用车购置0辆。</w:t>
      </w:r>
      <w:r>
        <w:rPr>
          <w:rFonts w:ascii="仿宋_GB2312" w:hAnsi="仿宋_GB2312" w:eastAsia="仿宋_GB2312" w:cs="仿宋_GB2312"/>
          <w:kern w:val="0"/>
          <w:sz w:val="32"/>
          <w:szCs w:val="32"/>
        </w:rPr>
        <w:t>与上年决算持平</w:t>
      </w:r>
      <w:r>
        <w:rPr>
          <w:rFonts w:hint="eastAsia" w:ascii="仿宋_GB2312" w:hAnsi="仿宋_GB2312" w:eastAsia="仿宋_GB2312" w:cs="仿宋_GB2312"/>
          <w:kern w:val="0"/>
          <w:sz w:val="32"/>
          <w:szCs w:val="32"/>
          <w:lang w:eastAsia="zh-CN"/>
        </w:rPr>
        <w:t>。</w:t>
      </w:r>
    </w:p>
    <w:p w14:paraId="253DD61E">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公务用车运行费支出0万元，完成全年预算的0%；较上年增加0万元，增长0%。截至2024年12月31日，本单位公务用车保有量为0辆。</w:t>
      </w:r>
      <w:r>
        <w:rPr>
          <w:rFonts w:ascii="仿宋_GB2312" w:hAnsi="仿宋_GB2312" w:eastAsia="仿宋_GB2312" w:cs="仿宋_GB2312"/>
          <w:kern w:val="0"/>
          <w:sz w:val="32"/>
          <w:szCs w:val="32"/>
        </w:rPr>
        <w:t>与上年决算持平</w:t>
      </w:r>
      <w:r>
        <w:rPr>
          <w:rFonts w:hint="eastAsia" w:ascii="仿宋_GB2312" w:hAnsi="仿宋_GB2312" w:eastAsia="仿宋_GB2312" w:cs="仿宋_GB2312"/>
          <w:kern w:val="0"/>
          <w:sz w:val="32"/>
          <w:szCs w:val="32"/>
          <w:lang w:eastAsia="zh-CN"/>
        </w:rPr>
        <w:t>。</w:t>
      </w:r>
    </w:p>
    <w:p w14:paraId="0EC53307">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kern w:val="0"/>
          <w:sz w:val="32"/>
          <w:szCs w:val="32"/>
        </w:rPr>
        <w:t>（三）公务接待费支出0万元，完成全年预算的 0%；较上年增加0万元，增长0%。累计接待0批次、0人次。与上年决算持平</w:t>
      </w:r>
      <w:r>
        <w:rPr>
          <w:rFonts w:hint="eastAsia" w:ascii="仿宋_GB2312" w:hAnsi="仿宋_GB2312" w:eastAsia="仿宋_GB2312" w:cs="仿宋_GB2312"/>
          <w:kern w:val="0"/>
          <w:sz w:val="32"/>
          <w:szCs w:val="32"/>
          <w:lang w:eastAsia="zh-CN"/>
        </w:rPr>
        <w:t>。</w:t>
      </w:r>
    </w:p>
    <w:p w14:paraId="6E81442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8" w:name="_Toc256000021"/>
      <w:bookmarkStart w:id="129" w:name="_Toc256000071"/>
      <w:bookmarkStart w:id="130" w:name="_Toc256000121"/>
      <w:bookmarkStart w:id="131" w:name="_Toc256000146"/>
      <w:bookmarkStart w:id="132" w:name="_Toc256000096"/>
      <w:bookmarkStart w:id="133" w:name="_Toc256000046"/>
      <w:r>
        <w:rPr>
          <w:rFonts w:ascii="黑体" w:hAnsi="黑体" w:eastAsia="黑体" w:cs="黑体"/>
          <w:b w:val="0"/>
          <w:bCs w:val="0"/>
          <w:spacing w:val="0"/>
        </w:rPr>
        <w:t>八、预算绩效情况说明</w:t>
      </w:r>
      <w:bookmarkEnd w:id="128"/>
      <w:bookmarkEnd w:id="129"/>
      <w:bookmarkEnd w:id="130"/>
      <w:bookmarkEnd w:id="131"/>
      <w:bookmarkEnd w:id="132"/>
      <w:bookmarkEnd w:id="133"/>
    </w:p>
    <w:p w14:paraId="6F49CB94">
      <w:pPr>
        <w:tabs>
          <w:tab w:val="left" w:pos="7513"/>
        </w:tabs>
        <w:adjustRightInd w:val="0"/>
        <w:snapToGrid w:val="0"/>
        <w:spacing w:line="560" w:lineRule="exact"/>
        <w:ind w:firstLine="640" w:firstLineChars="200"/>
        <w:rPr>
          <w:rFonts w:ascii="楷体" w:hAnsi="楷体" w:eastAsia="楷体" w:cs="仿宋_GB2312"/>
          <w:sz w:val="32"/>
          <w:szCs w:val="32"/>
        </w:rPr>
      </w:pPr>
      <w:bookmarkStart w:id="134" w:name="_Toc256000022"/>
      <w:bookmarkStart w:id="135" w:name="_Toc256000072"/>
      <w:bookmarkStart w:id="136" w:name="_Toc256000122"/>
      <w:bookmarkStart w:id="137" w:name="_Toc256000047"/>
      <w:bookmarkStart w:id="138" w:name="_Toc256000097"/>
      <w:bookmarkStart w:id="139" w:name="_Toc256000147"/>
      <w:r>
        <w:rPr>
          <w:rFonts w:hint="eastAsia" w:ascii="楷体" w:hAnsi="楷体" w:eastAsia="楷体" w:cs="仿宋_GB2312"/>
          <w:sz w:val="32"/>
          <w:szCs w:val="32"/>
        </w:rPr>
        <w:t>本年度本单位无单位自评项目。</w:t>
      </w:r>
    </w:p>
    <w:p w14:paraId="7FB365E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4"/>
      <w:bookmarkEnd w:id="135"/>
      <w:bookmarkEnd w:id="136"/>
      <w:bookmarkEnd w:id="137"/>
      <w:bookmarkEnd w:id="138"/>
      <w:bookmarkEnd w:id="139"/>
    </w:p>
    <w:p w14:paraId="59F8EA6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0F5A661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2024年度机关运行经费支出0万元，比上年决算数增加0万元，增长0%，</w:t>
      </w:r>
      <w:r>
        <w:rPr>
          <w:rFonts w:ascii="仿宋_GB2312" w:hAnsi="仿宋_GB2312" w:eastAsia="仿宋_GB2312" w:cs="仿宋_GB2312"/>
          <w:kern w:val="0"/>
          <w:sz w:val="32"/>
          <w:szCs w:val="32"/>
        </w:rPr>
        <w:t>本单位为事业单位没有机关运行经费。</w:t>
      </w:r>
    </w:p>
    <w:p w14:paraId="68E338D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（二）政府采购情况</w:t>
      </w:r>
    </w:p>
    <w:p w14:paraId="059767E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本单位2024年度政府采购支出总额0万元，</w:t>
      </w:r>
      <w:r>
        <w:rPr>
          <w:rFonts w:ascii="仿宋_GB2312" w:hAnsi="仿宋_GB2312" w:eastAsia="仿宋_GB2312" w:cs="仿宋_GB2312"/>
          <w:kern w:val="0"/>
          <w:sz w:val="32"/>
          <w:szCs w:val="32"/>
        </w:rPr>
        <w:t>本单位2024年度没有政府采购支出。</w:t>
      </w:r>
    </w:p>
    <w:p w14:paraId="24C5203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6235797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辆、机要通信用车0辆、应急保障用车0辆、执法执勤用车0辆、特种专业技术用车0辆、离退休干部用车0辆、其他用车0辆，其他用车主要是；单位价值100万元以上设备（不含车辆）0台（套）。  </w:t>
      </w:r>
    </w:p>
    <w:p w14:paraId="3007FBBA">
      <w:pPr>
        <w:sectPr>
          <w:footerReference r:id="rId18" w:type="default"/>
          <w:pgSz w:w="11906" w:h="16838"/>
          <w:pgMar w:top="1440" w:right="720" w:bottom="1440" w:left="720" w:header="720" w:footer="720" w:gutter="0"/>
          <w:cols w:space="720" w:num="1"/>
        </w:sectPr>
      </w:pPr>
    </w:p>
    <w:p w14:paraId="0FFCCB3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DDCCF38">
      <w:pPr>
        <w:pStyle w:val="30"/>
        <w:widowControl/>
        <w:spacing w:before="100" w:after="100"/>
        <w:ind w:left="100" w:right="100" w:firstLine="640"/>
        <w:jc w:val="left"/>
        <w:rPr>
          <w:rFonts w:ascii="Times New Roman" w:hAnsi="Times New Roman" w:eastAsia="Times New Roman" w:cs="Times New Roman"/>
          <w:kern w:val="0"/>
          <w:sz w:val="24"/>
        </w:rPr>
      </w:pPr>
    </w:p>
    <w:p w14:paraId="31ADA156">
      <w:pPr>
        <w:pStyle w:val="30"/>
        <w:widowControl/>
        <w:spacing w:before="100" w:after="100"/>
        <w:ind w:left="100" w:right="100" w:firstLine="640"/>
        <w:jc w:val="left"/>
        <w:rPr>
          <w:rFonts w:ascii="Times New Roman" w:hAnsi="Times New Roman" w:eastAsia="Times New Roman" w:cs="Times New Roman"/>
          <w:kern w:val="0"/>
          <w:sz w:val="24"/>
        </w:rPr>
      </w:pPr>
    </w:p>
    <w:p w14:paraId="4CE4757E">
      <w:pPr>
        <w:pStyle w:val="30"/>
        <w:widowControl/>
        <w:spacing w:before="100" w:after="100"/>
        <w:ind w:left="100" w:right="100" w:firstLine="640"/>
        <w:jc w:val="left"/>
        <w:rPr>
          <w:rFonts w:ascii="Times New Roman" w:hAnsi="Times New Roman" w:eastAsia="Times New Roman" w:cs="Times New Roman"/>
          <w:kern w:val="0"/>
          <w:sz w:val="24"/>
        </w:rPr>
      </w:pPr>
    </w:p>
    <w:p w14:paraId="798BA6A2">
      <w:pPr>
        <w:pStyle w:val="30"/>
        <w:widowControl/>
        <w:spacing w:before="100" w:after="100"/>
        <w:ind w:left="100" w:right="100" w:firstLine="640"/>
        <w:jc w:val="left"/>
        <w:rPr>
          <w:rFonts w:ascii="Times New Roman" w:hAnsi="Times New Roman" w:eastAsia="Times New Roman" w:cs="Times New Roman"/>
          <w:kern w:val="0"/>
          <w:sz w:val="24"/>
        </w:rPr>
      </w:pPr>
    </w:p>
    <w:p w14:paraId="02583592">
      <w:pPr>
        <w:pStyle w:val="30"/>
        <w:widowControl/>
        <w:spacing w:before="100" w:after="100"/>
        <w:ind w:left="100" w:right="100" w:firstLine="640"/>
        <w:jc w:val="left"/>
        <w:rPr>
          <w:rFonts w:ascii="Times New Roman" w:hAnsi="Times New Roman" w:eastAsia="Times New Roman" w:cs="Times New Roman"/>
          <w:kern w:val="0"/>
          <w:sz w:val="24"/>
        </w:rPr>
      </w:pPr>
    </w:p>
    <w:p w14:paraId="676001EC">
      <w:pPr>
        <w:pStyle w:val="30"/>
        <w:widowControl/>
        <w:spacing w:before="100" w:after="100"/>
        <w:ind w:left="100" w:right="100" w:firstLine="640"/>
        <w:jc w:val="left"/>
        <w:rPr>
          <w:rFonts w:ascii="Times New Roman" w:hAnsi="Times New Roman" w:eastAsia="Times New Roman" w:cs="Times New Roman"/>
          <w:kern w:val="0"/>
          <w:sz w:val="24"/>
        </w:rPr>
      </w:pPr>
    </w:p>
    <w:p w14:paraId="76DA4F28">
      <w:pPr>
        <w:pStyle w:val="30"/>
        <w:widowControl/>
        <w:spacing w:before="100" w:after="100"/>
        <w:ind w:left="100" w:right="100" w:firstLine="640"/>
        <w:jc w:val="left"/>
        <w:rPr>
          <w:rFonts w:ascii="Times New Roman" w:hAnsi="Times New Roman" w:eastAsia="Times New Roman" w:cs="Times New Roman"/>
          <w:kern w:val="0"/>
          <w:sz w:val="24"/>
        </w:rPr>
      </w:pPr>
    </w:p>
    <w:p w14:paraId="6A625ABF">
      <w:pPr>
        <w:pStyle w:val="30"/>
        <w:widowControl/>
        <w:spacing w:before="100" w:after="100"/>
        <w:ind w:left="100" w:right="100" w:firstLine="640"/>
        <w:jc w:val="left"/>
        <w:rPr>
          <w:rFonts w:ascii="Times New Roman" w:hAnsi="Times New Roman" w:eastAsia="Times New Roman" w:cs="Times New Roman"/>
          <w:kern w:val="0"/>
          <w:sz w:val="24"/>
        </w:rPr>
      </w:pPr>
    </w:p>
    <w:p w14:paraId="3C12504C">
      <w:pPr>
        <w:pStyle w:val="30"/>
        <w:widowControl/>
        <w:spacing w:before="100" w:after="100"/>
        <w:ind w:left="100" w:right="100" w:firstLine="640"/>
        <w:jc w:val="left"/>
        <w:rPr>
          <w:rFonts w:ascii="Times New Roman" w:hAnsi="Times New Roman" w:eastAsia="Times New Roman" w:cs="Times New Roman"/>
          <w:kern w:val="0"/>
          <w:sz w:val="24"/>
        </w:rPr>
      </w:pPr>
    </w:p>
    <w:p w14:paraId="608A15BE">
      <w:pPr>
        <w:pStyle w:val="30"/>
        <w:widowControl/>
        <w:spacing w:before="100" w:after="100"/>
        <w:ind w:left="100" w:right="100" w:firstLine="640"/>
        <w:jc w:val="left"/>
        <w:rPr>
          <w:rFonts w:ascii="Times New Roman" w:hAnsi="Times New Roman" w:eastAsia="Times New Roman" w:cs="Times New Roman"/>
          <w:kern w:val="0"/>
          <w:sz w:val="24"/>
        </w:rPr>
      </w:pPr>
    </w:p>
    <w:p w14:paraId="4CA4C796">
      <w:pPr>
        <w:pStyle w:val="30"/>
        <w:widowControl/>
        <w:spacing w:before="100" w:after="100"/>
        <w:ind w:left="100" w:right="100" w:firstLine="640"/>
        <w:jc w:val="left"/>
        <w:rPr>
          <w:rFonts w:ascii="Times New Roman" w:hAnsi="Times New Roman" w:eastAsia="Times New Roman" w:cs="Times New Roman"/>
          <w:kern w:val="0"/>
          <w:sz w:val="24"/>
        </w:rPr>
      </w:pPr>
    </w:p>
    <w:p w14:paraId="73FE4A73">
      <w:pPr>
        <w:pStyle w:val="30"/>
        <w:widowControl/>
        <w:spacing w:before="100" w:after="100"/>
        <w:ind w:left="100" w:right="100" w:firstLine="640"/>
        <w:jc w:val="left"/>
        <w:rPr>
          <w:rFonts w:ascii="Times New Roman" w:hAnsi="Times New Roman" w:eastAsia="Times New Roman" w:cs="Times New Roman"/>
          <w:kern w:val="0"/>
          <w:sz w:val="24"/>
        </w:rPr>
      </w:pPr>
    </w:p>
    <w:p w14:paraId="53C1605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0" w:name="_Toc256000148"/>
      <w:bookmarkStart w:id="141" w:name="_Toc256000048"/>
      <w:bookmarkStart w:id="142" w:name="_Toc256000123"/>
      <w:bookmarkStart w:id="143" w:name="_Toc256000023"/>
      <w:bookmarkStart w:id="144" w:name="_Toc256000073"/>
      <w:bookmarkStart w:id="145" w:name="_Toc256000098"/>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0"/>
      <w:bookmarkEnd w:id="141"/>
      <w:bookmarkEnd w:id="142"/>
      <w:bookmarkEnd w:id="143"/>
      <w:bookmarkEnd w:id="144"/>
      <w:bookmarkEnd w:id="145"/>
    </w:p>
    <w:p w14:paraId="3CCADE59">
      <w:pPr>
        <w:sectPr>
          <w:footerReference r:id="rId19" w:type="default"/>
          <w:pgSz w:w="11906" w:h="16838"/>
          <w:pgMar w:top="1440" w:right="720" w:bottom="1440" w:left="720" w:header="720" w:footer="720" w:gutter="0"/>
          <w:cols w:space="720" w:num="1"/>
        </w:sectPr>
      </w:pPr>
    </w:p>
    <w:p w14:paraId="5765846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FEF47B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7C9E34F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58C50D4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06115EB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661D1B6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7624FF3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1C0D6A9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7CBE54D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2481A41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5006088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7382ECA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221857B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622F653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2CCB6A98">
      <w:pPr>
        <w:pStyle w:val="30"/>
        <w:widowControl/>
        <w:spacing w:before="240" w:after="240"/>
        <w:ind w:firstLine="643"/>
        <w:jc w:val="left"/>
        <w:rPr>
          <w:rFonts w:ascii="Times New Roman" w:hAnsi="Times New Roman" w:eastAsia="Times New Roman" w:cs="Times New Roman"/>
          <w:kern w:val="0"/>
          <w:sz w:val="24"/>
        </w:rPr>
      </w:pPr>
    </w:p>
    <w:p w14:paraId="720FA6D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77AF804">
      <w:pPr>
        <w:pStyle w:val="30"/>
        <w:widowControl/>
        <w:spacing w:before="240" w:after="240"/>
        <w:jc w:val="left"/>
        <w:rPr>
          <w:rFonts w:ascii="Times New Roman" w:hAnsi="Times New Roman" w:eastAsia="Times New Roman" w:cs="Times New Roman"/>
          <w:kern w:val="0"/>
          <w:sz w:val="24"/>
        </w:rPr>
      </w:pPr>
    </w:p>
    <w:p w14:paraId="2FBE7BE1">
      <w:pPr>
        <w:pStyle w:val="30"/>
        <w:widowControl/>
        <w:spacing w:before="240" w:after="240"/>
        <w:jc w:val="left"/>
        <w:rPr>
          <w:rFonts w:ascii="Times New Roman" w:hAnsi="Times New Roman" w:eastAsia="Times New Roman" w:cs="Times New Roman"/>
          <w:kern w:val="0"/>
          <w:sz w:val="24"/>
        </w:rPr>
      </w:pPr>
    </w:p>
    <w:p w14:paraId="13D06981">
      <w:pPr>
        <w:pStyle w:val="30"/>
        <w:widowControl/>
        <w:spacing w:before="240" w:after="240"/>
        <w:jc w:val="left"/>
        <w:rPr>
          <w:rFonts w:ascii="Times New Roman" w:hAnsi="Times New Roman" w:eastAsia="Times New Roman" w:cs="Times New Roman"/>
          <w:kern w:val="0"/>
          <w:sz w:val="24"/>
        </w:rPr>
      </w:pPr>
    </w:p>
    <w:p w14:paraId="6ACC8CEC">
      <w:pPr>
        <w:pStyle w:val="30"/>
        <w:widowControl/>
        <w:spacing w:before="240" w:after="240"/>
        <w:jc w:val="left"/>
        <w:rPr>
          <w:rFonts w:ascii="Times New Roman" w:hAnsi="Times New Roman" w:eastAsia="Times New Roman" w:cs="Times New Roman"/>
          <w:kern w:val="0"/>
          <w:sz w:val="24"/>
        </w:rPr>
      </w:pPr>
    </w:p>
    <w:p w14:paraId="757FC797">
      <w:pPr>
        <w:pStyle w:val="30"/>
        <w:widowControl/>
        <w:spacing w:before="240" w:after="240"/>
        <w:jc w:val="left"/>
        <w:rPr>
          <w:rFonts w:ascii="Times New Roman" w:hAnsi="Times New Roman" w:eastAsia="Times New Roman" w:cs="Times New Roman"/>
          <w:kern w:val="0"/>
          <w:sz w:val="24"/>
        </w:rPr>
      </w:pPr>
    </w:p>
    <w:p w14:paraId="2704DB9B">
      <w:pPr>
        <w:pStyle w:val="30"/>
        <w:widowControl/>
        <w:spacing w:before="240" w:after="240"/>
        <w:jc w:val="left"/>
        <w:rPr>
          <w:rFonts w:ascii="Times New Roman" w:hAnsi="Times New Roman" w:eastAsia="Times New Roman" w:cs="Times New Roman"/>
          <w:kern w:val="0"/>
          <w:sz w:val="24"/>
        </w:rPr>
      </w:pPr>
    </w:p>
    <w:p w14:paraId="2631D2EC">
      <w:pPr>
        <w:pStyle w:val="30"/>
        <w:widowControl/>
        <w:spacing w:before="240" w:after="240"/>
        <w:jc w:val="left"/>
        <w:rPr>
          <w:rFonts w:ascii="Times New Roman" w:hAnsi="Times New Roman" w:eastAsia="Times New Roman" w:cs="Times New Roman"/>
          <w:kern w:val="0"/>
          <w:sz w:val="24"/>
        </w:rPr>
      </w:pPr>
    </w:p>
    <w:p w14:paraId="49FE1A34">
      <w:pPr>
        <w:pStyle w:val="30"/>
        <w:widowControl/>
        <w:spacing w:before="240" w:after="240"/>
        <w:jc w:val="left"/>
        <w:rPr>
          <w:rFonts w:ascii="Times New Roman" w:hAnsi="Times New Roman" w:eastAsia="Times New Roman" w:cs="Times New Roman"/>
          <w:kern w:val="0"/>
          <w:sz w:val="24"/>
        </w:rPr>
      </w:pPr>
    </w:p>
    <w:p w14:paraId="55D0080D">
      <w:pPr>
        <w:pStyle w:val="30"/>
        <w:widowControl/>
        <w:spacing w:before="240" w:after="240"/>
        <w:jc w:val="left"/>
        <w:rPr>
          <w:rFonts w:ascii="Times New Roman" w:hAnsi="Times New Roman" w:eastAsia="Times New Roman" w:cs="Times New Roman"/>
          <w:kern w:val="0"/>
          <w:sz w:val="24"/>
        </w:rPr>
      </w:pPr>
    </w:p>
    <w:p w14:paraId="4C9D5AB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bookmarkEnd w:id="0"/>
    </w:p>
    <w:sectPr>
      <w:footerReference r:id="rId20"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CCA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4C2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300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9F5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64C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F37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006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244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B90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CAB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D5C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2C5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0E4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06A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EBF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516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5EC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EBCE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C4F42"/>
    <w:rsid w:val="2ACA36A7"/>
    <w:rsid w:val="5EE9174B"/>
    <w:rsid w:val="63176394"/>
    <w:rsid w:val="631B2774"/>
    <w:rsid w:val="7D810D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10">
    <w:name w:val="toc 5"/>
    <w:basedOn w:val="1"/>
    <w:next w:val="1"/>
    <w:autoRedefine/>
    <w:qFormat/>
    <w:uiPriority w:val="0"/>
    <w:pPr>
      <w:ind w:left="840"/>
      <w:jc w:val="left"/>
    </w:pPr>
    <w:rPr>
      <w:sz w:val="20"/>
      <w:szCs w:val="20"/>
    </w:rPr>
  </w:style>
  <w:style w:type="paragraph" w:styleId="11">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6"/>
    <w:qFormat/>
    <w:uiPriority w:val="0"/>
    <w:rPr>
      <w:rFonts w:ascii="Cambria" w:hAnsi="Cambria" w:eastAsia="仿宋"/>
      <w:bCs/>
      <w:kern w:val="2"/>
      <w:sz w:val="32"/>
      <w:szCs w:val="28"/>
    </w:rPr>
  </w:style>
  <w:style w:type="character" w:customStyle="1" w:styleId="25">
    <w:name w:val="无间隔 字符"/>
    <w:link w:val="4"/>
    <w:qFormat/>
    <w:locked/>
    <w:uiPriority w:val="0"/>
    <w:rPr>
      <w:rFonts w:eastAsia="仿宋_GB2312"/>
      <w:sz w:val="30"/>
      <w:szCs w:val="22"/>
      <w:lang w:bidi="ar-SA"/>
    </w:rPr>
  </w:style>
  <w:style w:type="character" w:customStyle="1" w:styleId="26">
    <w:name w:val="页脚 字符"/>
    <w:basedOn w:val="21"/>
    <w:link w:val="13"/>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1"/>
    <w:link w:val="5"/>
    <w:qFormat/>
    <w:uiPriority w:val="0"/>
    <w:rPr>
      <w:rFonts w:eastAsia="仿宋"/>
      <w:bCs/>
      <w:kern w:val="2"/>
      <w:sz w:val="32"/>
      <w:szCs w:val="32"/>
    </w:rPr>
  </w:style>
  <w:style w:type="paragraph" w:customStyle="1" w:styleId="29">
    <w:name w:val="p"/>
    <w:basedOn w:val="1"/>
    <w:qFormat/>
    <w:uiPriority w:val="0"/>
  </w:style>
  <w:style w:type="paragraph" w:customStyle="1" w:styleId="30">
    <w:name w:val="MsoNormal"/>
    <w:basedOn w:val="1"/>
    <w:qFormat/>
    <w:uiPriority w:val="0"/>
  </w:style>
  <w:style w:type="character" w:customStyle="1" w:styleId="31">
    <w:name w:val="15"/>
    <w:basedOn w:val="21"/>
    <w:qFormat/>
    <w:uiPriority w:val="0"/>
  </w:style>
  <w:style w:type="table" w:customStyle="1" w:styleId="32">
    <w:name w:val="MsoNormalTable mce-item-table"/>
    <w:basedOn w:val="20"/>
    <w:qFormat/>
    <w:uiPriority w:val="0"/>
  </w:style>
  <w:style w:type="paragraph" w:customStyle="1" w:styleId="33">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1505</Words>
  <Characters>1550</Characters>
  <Lines>1</Lines>
  <Paragraphs>1</Paragraphs>
  <TotalTime>9</TotalTime>
  <ScaleCrop>false</ScaleCrop>
  <LinksUpToDate>false</LinksUpToDate>
  <CharactersWithSpaces>1638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杨溢</cp:lastModifiedBy>
  <cp:lastPrinted>2021-04-16T00:45:00Z</cp:lastPrinted>
  <dcterms:modified xsi:type="dcterms:W3CDTF">2025-10-29T07:43:05Z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BF6568F50BE94EE0949ECCB7F50D3A79_13</vt:lpwstr>
  </property>
  <property fmtid="{D5CDD505-2E9C-101B-9397-08002B2CF9AE}" pid="3" name="KSOProductBuildVer">
    <vt:lpwstr>2052-12.1.0.23125</vt:lpwstr>
  </property>
  <property fmtid="{D5CDD505-2E9C-101B-9397-08002B2CF9AE}" pid="4" name="KSOTemplateDocerSaveRecord">
    <vt:lpwstr>eyJoZGlkIjoiOWZhZGQ1MGIwYmY1OTM3YzhkZDE3MTAwM2Y2ODY4M2UiLCJ1c2VySWQiOiIxNjE2ODM2NDgwIn0=</vt:lpwstr>
  </property>
</Properties>
</file>