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仙游县水利水电工程移民发展中心</w:t>
      </w:r>
    </w:p>
    <w:p>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3"/>
              <w:rFonts w:ascii="仿宋" w:hAnsi="仿宋" w:eastAsia="仿宋" w:cs="仿宋"/>
            </w:rPr>
            <w:t>第一部分</w:t>
          </w:r>
          <w:r>
            <w:rPr>
              <w:rStyle w:val="23"/>
              <w:rFonts w:ascii="黑体" w:hAnsi="黑体" w:eastAsia="黑体" w:cs="黑体"/>
            </w:rPr>
            <w:t xml:space="preserve"> </w:t>
          </w:r>
          <w:r>
            <w:rPr>
              <w:rStyle w:val="23"/>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3"/>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3"/>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3"/>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3"/>
              <w:rFonts w:ascii="仿宋" w:hAnsi="仿宋" w:eastAsia="仿宋" w:cs="仿宋"/>
            </w:rPr>
            <w:t>第二部分</w:t>
          </w:r>
          <w:r>
            <w:rPr>
              <w:rStyle w:val="23"/>
              <w:rFonts w:ascii="黑体" w:hAnsi="黑体" w:eastAsia="黑体" w:cs="黑体"/>
            </w:rPr>
            <w:t xml:space="preserve"> </w:t>
          </w:r>
          <w:r>
            <w:rPr>
              <w:rStyle w:val="23"/>
              <w:rFonts w:ascii="仿宋" w:hAnsi="仿宋" w:eastAsia="仿宋" w:cs="仿宋"/>
            </w:rPr>
            <w:t>2024年度单位决算表</w:t>
          </w:r>
          <w:r>
            <w:tab/>
          </w:r>
          <w:r>
            <w:fldChar w:fldCharType="begin"/>
          </w:r>
          <w:r>
            <w:instrText xml:space="preserve"> PAGEREF _Toc256000129 \h </w:instrText>
          </w:r>
          <w:r>
            <w:fldChar w:fldCharType="separate"/>
          </w:r>
          <w:r>
            <w:t>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3"/>
              <w:rFonts w:ascii="仿宋" w:hAnsi="仿宋" w:eastAsia="仿宋" w:cs="仿宋"/>
            </w:rPr>
            <w:t>一、收入支出决算总表</w:t>
          </w:r>
          <w:r>
            <w:tab/>
          </w:r>
          <w:r>
            <w:fldChar w:fldCharType="begin"/>
          </w:r>
          <w:r>
            <w:instrText xml:space="preserve"> PAGEREF _Toc256000130 \h </w:instrText>
          </w:r>
          <w:r>
            <w:fldChar w:fldCharType="separate"/>
          </w:r>
          <w:r>
            <w:t>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3"/>
              <w:rFonts w:ascii="仿宋" w:hAnsi="仿宋" w:eastAsia="仿宋" w:cs="仿宋"/>
            </w:rPr>
            <w:t>二、收入决算表</w:t>
          </w:r>
          <w:r>
            <w:tab/>
          </w:r>
          <w:r>
            <w:fldChar w:fldCharType="begin"/>
          </w:r>
          <w:r>
            <w:instrText xml:space="preserve"> PAGEREF _Toc256000131 \h </w:instrText>
          </w:r>
          <w:r>
            <w:fldChar w:fldCharType="separate"/>
          </w:r>
          <w:r>
            <w:t>6</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3"/>
              <w:rFonts w:ascii="仿宋" w:hAnsi="仿宋" w:eastAsia="仿宋" w:cs="仿宋"/>
            </w:rPr>
            <w:t>三、支出决算表</w:t>
          </w:r>
          <w:r>
            <w:tab/>
          </w:r>
          <w:r>
            <w:fldChar w:fldCharType="begin"/>
          </w:r>
          <w:r>
            <w:instrText xml:space="preserve"> PAGEREF _Toc256000132 \h </w:instrText>
          </w:r>
          <w:r>
            <w:fldChar w:fldCharType="separate"/>
          </w:r>
          <w:r>
            <w:t>8</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3"/>
              <w:rFonts w:ascii="仿宋" w:hAnsi="仿宋" w:eastAsia="仿宋" w:cs="仿宋"/>
            </w:rPr>
            <w:t>四、财政拨款收入支出决算总表</w:t>
          </w:r>
          <w:r>
            <w:tab/>
          </w:r>
          <w:r>
            <w:fldChar w:fldCharType="begin"/>
          </w:r>
          <w:r>
            <w:instrText xml:space="preserve"> PAGEREF _Toc256000133 \h </w:instrText>
          </w:r>
          <w:r>
            <w:fldChar w:fldCharType="separate"/>
          </w:r>
          <w:r>
            <w:t>10</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3"/>
              <w:rFonts w:ascii="仿宋" w:hAnsi="仿宋" w:eastAsia="仿宋" w:cs="仿宋"/>
            </w:rPr>
            <w:t>五、一般公共预算财政拨款支出决算表</w:t>
          </w:r>
          <w:r>
            <w:tab/>
          </w:r>
          <w:r>
            <w:fldChar w:fldCharType="begin"/>
          </w:r>
          <w:r>
            <w:instrText xml:space="preserve"> PAGEREF _Toc256000134 \h </w:instrText>
          </w:r>
          <w:r>
            <w:fldChar w:fldCharType="separate"/>
          </w:r>
          <w:r>
            <w:t>13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3"/>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3"/>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17</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3"/>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18</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3"/>
              <w:rFonts w:ascii="仿宋" w:hAnsi="仿宋" w:eastAsia="仿宋" w:cs="仿宋"/>
            </w:rPr>
            <w:t>第三部分</w:t>
          </w:r>
          <w:r>
            <w:rPr>
              <w:rStyle w:val="23"/>
              <w:rFonts w:ascii="黑体" w:hAnsi="黑体" w:eastAsia="黑体" w:cs="黑体"/>
            </w:rPr>
            <w:t xml:space="preserve"> </w:t>
          </w:r>
          <w:r>
            <w:rPr>
              <w:rStyle w:val="23"/>
              <w:rFonts w:ascii="仿宋" w:hAnsi="仿宋" w:eastAsia="仿宋" w:cs="仿宋"/>
            </w:rPr>
            <w:t>2024年度单位决算情况说明</w:t>
          </w:r>
          <w:r>
            <w:tab/>
          </w:r>
          <w:r>
            <w:fldChar w:fldCharType="begin"/>
          </w:r>
          <w:r>
            <w:instrText xml:space="preserve"> PAGEREF _Toc256000138 \h </w:instrText>
          </w:r>
          <w:r>
            <w:fldChar w:fldCharType="separate"/>
          </w:r>
          <w:r>
            <w:t>20</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3"/>
              <w:rFonts w:ascii="仿宋" w:hAnsi="仿宋" w:eastAsia="仿宋" w:cs="仿宋"/>
            </w:rPr>
            <w:t>一、收入支出决算总体情况说明</w:t>
          </w:r>
          <w:r>
            <w:tab/>
          </w:r>
          <w:r>
            <w:fldChar w:fldCharType="begin"/>
          </w:r>
          <w:r>
            <w:instrText xml:space="preserve"> PAGEREF _Toc256000139 \h </w:instrText>
          </w:r>
          <w:r>
            <w:fldChar w:fldCharType="separate"/>
          </w:r>
          <w:r>
            <w:t>21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3"/>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3"/>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3"/>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3"/>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3"/>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3"/>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3"/>
              <w:rFonts w:ascii="仿宋" w:hAnsi="仿宋" w:eastAsia="仿宋" w:cs="仿宋"/>
            </w:rPr>
            <w:t>八、预算绩效情况说明</w:t>
          </w:r>
          <w:r>
            <w:tab/>
          </w:r>
          <w:r>
            <w:fldChar w:fldCharType="begin"/>
          </w:r>
          <w:r>
            <w:instrText xml:space="preserve"> PAGEREF _Toc256000146 \h </w:instrText>
          </w:r>
          <w:r>
            <w:fldChar w:fldCharType="separate"/>
          </w:r>
          <w:r>
            <w:t>25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3"/>
              <w:rFonts w:ascii="仿宋" w:hAnsi="仿宋" w:eastAsia="仿宋" w:cs="仿宋"/>
            </w:rPr>
            <w:t>九、其他重要事项说明</w:t>
          </w:r>
          <w:r>
            <w:tab/>
          </w:r>
          <w:r>
            <w:fldChar w:fldCharType="begin"/>
          </w:r>
          <w:r>
            <w:instrText xml:space="preserve"> PAGEREF _Toc256000147 \h </w:instrText>
          </w:r>
          <w:r>
            <w:fldChar w:fldCharType="separate"/>
          </w:r>
          <w:r>
            <w:t>25</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3"/>
              <w:rFonts w:ascii="仿宋" w:hAnsi="仿宋" w:eastAsia="仿宋" w:cs="仿宋"/>
            </w:rPr>
            <w:t>第四部分</w:t>
          </w:r>
          <w:r>
            <w:rPr>
              <w:rStyle w:val="23"/>
              <w:rFonts w:ascii="黑体" w:hAnsi="黑体" w:eastAsia="黑体" w:cs="黑体"/>
            </w:rPr>
            <w:t xml:space="preserve"> </w:t>
          </w:r>
          <w:r>
            <w:rPr>
              <w:rStyle w:val="23"/>
              <w:rFonts w:ascii="仿宋" w:hAnsi="仿宋" w:eastAsia="仿宋" w:cs="仿宋"/>
            </w:rPr>
            <w:t>名词解释</w:t>
          </w:r>
          <w:r>
            <w:tab/>
          </w:r>
          <w:r>
            <w:fldChar w:fldCharType="begin"/>
          </w:r>
          <w:r>
            <w:instrText xml:space="preserve"> PAGEREF _Toc256000148 \h </w:instrText>
          </w:r>
          <w:r>
            <w:fldChar w:fldCharType="separate"/>
          </w:r>
          <w:r>
            <w:t>27</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3"/>
              <w:rFonts w:ascii="仿宋" w:hAnsi="仿宋" w:eastAsia="仿宋" w:cs="仿宋"/>
            </w:rPr>
            <w:t>第五部分</w:t>
          </w:r>
          <w:r>
            <w:rPr>
              <w:rStyle w:val="23"/>
              <w:rFonts w:ascii="黑体" w:hAnsi="黑体" w:eastAsia="黑体" w:cs="黑体"/>
            </w:rPr>
            <w:t xml:space="preserve"> </w:t>
          </w:r>
          <w:r>
            <w:rPr>
              <w:rStyle w:val="23"/>
              <w:rFonts w:ascii="仿宋" w:hAnsi="仿宋" w:eastAsia="仿宋" w:cs="仿宋"/>
            </w:rPr>
            <w:t>附件</w:t>
          </w:r>
          <w:r>
            <w:tab/>
          </w:r>
          <w:r>
            <w:fldChar w:fldCharType="begin"/>
          </w:r>
          <w:r>
            <w:instrText xml:space="preserve"> PAGEREF _Toc256000149 \h </w:instrText>
          </w:r>
          <w:r>
            <w:fldChar w:fldCharType="separate"/>
          </w:r>
          <w:r>
            <w:t>30</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pPr>
        <w:widowControl/>
        <w:spacing w:after="240"/>
        <w:jc w:val="left"/>
        <w:rPr>
          <w:rFonts w:ascii="Times New Roman" w:hAnsi="Times New Roman" w:eastAsia="Times New Roman" w:cs="Times New Roman"/>
          <w:kern w:val="0"/>
          <w:sz w:val="24"/>
        </w:rPr>
      </w:pPr>
      <w:bookmarkStart w:id="0" w:name="a000"/>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25"/>
      <w:bookmarkStart w:id="2" w:name="_Toc256000025"/>
      <w:bookmarkStart w:id="3" w:name="_Toc256000075"/>
      <w:bookmarkStart w:id="4" w:name="_Toc256000000"/>
      <w:bookmarkStart w:id="5" w:name="_Toc256000100"/>
      <w:bookmarkStart w:id="6" w:name="_Toc256000050"/>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pPr>
        <w:sectPr>
          <w:footerReference r:id="rId5" w:type="default"/>
          <w:pgSz w:w="11906" w:h="16838"/>
          <w:pgMar w:top="1440" w:right="720" w:bottom="1440" w:left="720" w:header="720" w:footer="720" w:gutter="0"/>
          <w:pgNumType w:start="1"/>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126"/>
      <w:bookmarkStart w:id="8" w:name="_Toc256000101"/>
      <w:bookmarkStart w:id="9" w:name="_Toc256000076"/>
      <w:bookmarkStart w:id="10" w:name="_Toc256000001"/>
      <w:bookmarkStart w:id="11" w:name="_Toc256000051"/>
      <w:bookmarkStart w:id="12" w:name="_Toc256000026"/>
      <w:r>
        <w:rPr>
          <w:rFonts w:ascii="黑体" w:hAnsi="黑体" w:eastAsia="黑体" w:cs="黑体"/>
          <w:b w:val="0"/>
          <w:bCs w:val="0"/>
          <w:spacing w:val="0"/>
        </w:rPr>
        <w:t>一、单位主要职责</w:t>
      </w:r>
      <w:bookmarkEnd w:id="7"/>
      <w:bookmarkEnd w:id="8"/>
      <w:bookmarkEnd w:id="9"/>
      <w:bookmarkEnd w:id="10"/>
      <w:bookmarkEnd w:id="11"/>
      <w:bookmarkEnd w:id="12"/>
    </w:p>
    <w:p>
      <w:pPr>
        <w:pStyle w:val="30"/>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仙游县水利水电工程移民发展中心单位的主要职责是：</w:t>
      </w:r>
    </w:p>
    <w:p>
      <w:pPr>
        <w:snapToGrid w:val="0"/>
        <w:spacing w:line="560" w:lineRule="exact"/>
        <w:ind w:firstLine="640" w:firstLineChars="200"/>
        <w:rPr>
          <w:rFonts w:ascii="仿宋_GB2312" w:hAnsi="宋体" w:eastAsia="仿宋_GB2312" w:cs="Arial"/>
          <w:sz w:val="32"/>
          <w:szCs w:val="32"/>
        </w:rPr>
      </w:pPr>
      <w:r>
        <w:rPr>
          <w:rFonts w:ascii="??_GB2312" w:hAnsi="宋体" w:eastAsia="Times New Roman" w:cs="Arial"/>
          <w:sz w:val="32"/>
          <w:szCs w:val="32"/>
        </w:rPr>
        <w:t>（</w:t>
      </w:r>
      <w:r>
        <w:rPr>
          <w:rFonts w:hint="eastAsia" w:ascii="仿宋_GB2312" w:hAnsi="宋体" w:eastAsia="仿宋_GB2312" w:cs="Arial"/>
          <w:sz w:val="32"/>
          <w:szCs w:val="32"/>
        </w:rPr>
        <w:t>一）负责做好全县水利水电库区移民搬迁安置的监督工作。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（二）协调处理库区移民安置过渡期有关问题。</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（三）负责做好全县库区农村移民的后期扶持的组织协调工作。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（四）组织开展国家有关库区移民法律法规宣传贯彻活动。</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（五）负责组织全县库区移民工作人员的岗位培训和继续教育工作。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（六）负责全县库区农村移民身份的复核、档案材料收集、分类、归档工作。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（七）检查全县库区移民法律法规和规章制度的执行情况，查处违法案件，承担行政执法的复议、应诉工作。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（八）协调做好库区移民的安定稳定工作。</w:t>
      </w:r>
    </w:p>
    <w:p>
      <w:pPr>
        <w:snapToGrid w:val="0"/>
        <w:spacing w:line="56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（九）完成领导交办的其他事项。</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27"/>
      <w:bookmarkStart w:id="14" w:name="_Toc256000027"/>
      <w:bookmarkStart w:id="15" w:name="_Toc256000002"/>
      <w:bookmarkStart w:id="16" w:name="_Toc256000077"/>
      <w:bookmarkStart w:id="17" w:name="_Toc256000102"/>
      <w:bookmarkStart w:id="18" w:name="_Toc256000052"/>
      <w:r>
        <w:rPr>
          <w:rFonts w:ascii="黑体" w:hAnsi="黑体" w:eastAsia="黑体" w:cs="黑体"/>
          <w:b w:val="0"/>
          <w:bCs w:val="0"/>
          <w:spacing w:val="0"/>
        </w:rPr>
        <w:t>二、单位基本情况</w:t>
      </w:r>
      <w:bookmarkEnd w:id="13"/>
      <w:bookmarkEnd w:id="14"/>
      <w:bookmarkEnd w:id="15"/>
      <w:bookmarkEnd w:id="16"/>
      <w:bookmarkEnd w:id="17"/>
      <w:bookmarkEnd w:id="18"/>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从决算单位构成看，本单位包括个内设机构，其中：列入2024年决算编制范围的单位详细情况见下表:</w:t>
      </w:r>
    </w:p>
    <w:tbl>
      <w:tblPr>
        <w:tblStyle w:val="20"/>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仙游县水利水电工程移民发展中心</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w:t>
            </w:r>
          </w:p>
        </w:tc>
      </w:tr>
    </w:tbl>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103"/>
      <w:bookmarkStart w:id="20" w:name="_Toc256000003"/>
      <w:bookmarkStart w:id="21" w:name="_Toc256000028"/>
      <w:bookmarkStart w:id="22" w:name="_Toc256000128"/>
      <w:bookmarkStart w:id="23" w:name="_Toc256000078"/>
      <w:bookmarkStart w:id="24" w:name="_Toc256000053"/>
      <w:r>
        <w:rPr>
          <w:rFonts w:ascii="黑体" w:hAnsi="黑体" w:eastAsia="黑体" w:cs="黑体"/>
          <w:b w:val="0"/>
          <w:bCs w:val="0"/>
          <w:spacing w:val="0"/>
        </w:rPr>
        <w:t>三、单位主要工作总结</w:t>
      </w:r>
      <w:bookmarkEnd w:id="19"/>
      <w:bookmarkEnd w:id="20"/>
      <w:bookmarkEnd w:id="21"/>
      <w:bookmarkEnd w:id="22"/>
      <w:bookmarkEnd w:id="23"/>
      <w:bookmarkEnd w:id="24"/>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2024年，仙游县水利水电工程移民发展中心单位主要任务是：</w:t>
      </w:r>
      <w:r>
        <w:rPr>
          <w:rFonts w:hint="eastAsia" w:ascii="仿宋_GB2312" w:hAnsi="仿宋_GB2312" w:eastAsia="仿宋_GB2312" w:cs="仿宋_GB2312"/>
          <w:sz w:val="32"/>
          <w:szCs w:val="32"/>
        </w:rPr>
        <w:t>以扎实开展党纪学习教育和深化拓展“深学争优、敢为争先、实干争效”行动为抓手，</w:t>
      </w:r>
      <w:r>
        <w:rPr>
          <w:rFonts w:hint="eastAsia" w:ascii="仿宋_GB2312" w:hAnsi="仿宋_GB2312" w:eastAsia="仿宋_GB2312" w:cs="仿宋_GB2312"/>
          <w:color w:val="auto"/>
          <w:kern w:val="2"/>
          <w:sz w:val="32"/>
          <w:szCs w:val="32"/>
          <w:lang w:val="en-US" w:eastAsia="zh-CN"/>
        </w:rPr>
        <w:t>聚焦水库移民增收致富主线和共同富裕美好目标，</w:t>
      </w:r>
      <w:r>
        <w:rPr>
          <w:rFonts w:hint="eastAsia" w:ascii="仿宋_GB2312" w:hAnsi="仿宋_GB2312" w:eastAsia="仿宋_GB2312" w:cs="仿宋_GB2312"/>
          <w:sz w:val="32"/>
          <w:szCs w:val="32"/>
        </w:rPr>
        <w:t>把学纪、知纪、明纪、守纪融入业务、抓在日常，进一步解放思想、创新机制、主动作为，扎实推进水库移民各项工作取得新成效</w:t>
      </w:r>
      <w:r>
        <w:rPr>
          <w:rFonts w:hint="eastAsia" w:ascii="仿宋_GB2312" w:hAnsi="仿宋_GB2312" w:eastAsia="仿宋_GB2312" w:cs="仿宋_GB2312"/>
          <w:sz w:val="32"/>
          <w:szCs w:val="32"/>
          <w:lang w:eastAsia="zh-CN"/>
        </w:rPr>
        <w:t>。</w:t>
      </w:r>
      <w:r>
        <w:rPr>
          <w:rFonts w:ascii="仿宋_GB2312" w:hAnsi="仿宋_GB2312" w:eastAsia="仿宋_GB2312" w:cs="仿宋_GB2312"/>
          <w:spacing w:val="0"/>
          <w:kern w:val="0"/>
          <w:sz w:val="32"/>
          <w:szCs w:val="32"/>
        </w:rPr>
        <w:t>围绕上述任务，重点完成了以下工作：</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
        </w:rPr>
        <w:t>1.</w:t>
      </w:r>
      <w:r>
        <w:rPr>
          <w:rFonts w:hint="eastAsia" w:ascii="仿宋_GB2312" w:hAnsi="仿宋_GB2312" w:eastAsia="仿宋_GB2312" w:cs="仿宋_GB2312"/>
          <w:b/>
          <w:bCs/>
          <w:sz w:val="32"/>
          <w:szCs w:val="32"/>
          <w:lang w:val="en-US" w:eastAsia="zh-CN"/>
        </w:rPr>
        <w:t>坚</w:t>
      </w:r>
      <w:r>
        <w:rPr>
          <w:rFonts w:hint="eastAsia" w:ascii="仿宋_GB2312" w:hAnsi="仿宋_GB2312" w:eastAsia="仿宋_GB2312" w:cs="仿宋_GB2312"/>
          <w:b/>
          <w:bCs/>
          <w:sz w:val="32"/>
          <w:szCs w:val="32"/>
        </w:rPr>
        <w:t>持创新驱动，</w:t>
      </w:r>
      <w:r>
        <w:rPr>
          <w:rFonts w:hint="eastAsia" w:ascii="仿宋_GB2312" w:hAnsi="仿宋_GB2312" w:eastAsia="仿宋_GB2312" w:cs="仿宋_GB2312"/>
          <w:b/>
          <w:bCs/>
          <w:sz w:val="32"/>
          <w:szCs w:val="32"/>
          <w:lang w:val="en-US" w:eastAsia="zh-CN"/>
        </w:rPr>
        <w:t>后扶</w:t>
      </w:r>
      <w:r>
        <w:rPr>
          <w:rFonts w:hint="eastAsia" w:ascii="仿宋_GB2312" w:hAnsi="仿宋_GB2312" w:eastAsia="仿宋_GB2312" w:cs="仿宋_GB2312"/>
          <w:b/>
          <w:bCs/>
          <w:sz w:val="32"/>
          <w:szCs w:val="32"/>
        </w:rPr>
        <w:t>转型升级步伐坚实</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2024年赖店镇“润泽库区、造福移民”工程经竞争性立项后获得省水利厅批复实施，补助移民后扶资金2000万元，为全省首批大中型水库“润泽库区、造福移民”工程。工程策划了5个子工程，以玉墩村为“主站点”，连接周围3个村庄，有效推动片区联动发展，示范引领全县库区乡村振兴；</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积极探索“培训+”模式，实现培训与就业的紧密结合，以解决移民就业增收为目标</w:t>
      </w:r>
      <w:r>
        <w:rPr>
          <w:rFonts w:hint="eastAsia" w:ascii="仿宋_GB2312" w:hAnsi="仿宋_GB2312" w:eastAsia="仿宋_GB2312" w:cs="仿宋_GB2312"/>
          <w:sz w:val="32"/>
          <w:szCs w:val="32"/>
          <w:lang w:val="en-US" w:eastAsia="zh-CN"/>
        </w:rPr>
        <w:t>开展2期移民及连带影响群众农业实用技术培训班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培训人数153人，</w:t>
      </w:r>
      <w:r>
        <w:rPr>
          <w:rFonts w:hint="eastAsia" w:ascii="仿宋_GB2312" w:hAnsi="仿宋_GB2312" w:eastAsia="仿宋_GB2312" w:cs="仿宋_GB2312"/>
          <w:sz w:val="32"/>
          <w:szCs w:val="32"/>
        </w:rPr>
        <w:t>引导移民群众由“要我学”向“我要学”转变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线上线下联动，做好直补人口复核和资金发放工作。依托移民村和乡镇的一线排查，加强与民政、公安等部门的数据对接，以及省、市水利局在死亡殡葬、财政供养人员、户口重复人员方面的信息复核，全面做好直补人口年度复核工作，2024年度核减移民49人，核增1人，发放直补资金383.04万元；</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认真梳理项目推进和资金拨付的工作台账，逐个问题清理销号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积极向上争取资金，督促项目建设单位做好项目验收后的</w:t>
      </w:r>
      <w:r>
        <w:rPr>
          <w:rFonts w:hint="eastAsia" w:ascii="仿宋_GB2312" w:hAnsi="仿宋_GB2312" w:eastAsia="仿宋_GB2312" w:cs="仿宋_GB2312"/>
          <w:sz w:val="32"/>
          <w:szCs w:val="32"/>
        </w:rPr>
        <w:t>移交和管护工作，充分发挥已建项目的经济效益、社会效益和生态效益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完成2006年以来的</w:t>
      </w:r>
      <w:r>
        <w:rPr>
          <w:rFonts w:hint="eastAsia" w:ascii="仿宋_GB2312" w:hAnsi="仿宋_GB2312" w:eastAsia="仿宋_GB2312" w:cs="仿宋_GB2312"/>
          <w:sz w:val="32"/>
          <w:szCs w:val="32"/>
        </w:rPr>
        <w:t>后扶项目</w:t>
      </w:r>
      <w:r>
        <w:rPr>
          <w:rFonts w:hint="eastAsia" w:ascii="仿宋_GB2312" w:hAnsi="仿宋_GB2312" w:eastAsia="仿宋_GB2312" w:cs="仿宋_GB2312"/>
          <w:sz w:val="32"/>
          <w:szCs w:val="32"/>
          <w:lang w:val="en-US" w:eastAsia="zh-CN"/>
        </w:rPr>
        <w:t>资产登记工作，做到有账可查，为今后的后扶20年各项检查、回头看、审计准备好基础数据资料。</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
        </w:rPr>
        <w:t>2.</w:t>
      </w:r>
      <w:r>
        <w:rPr>
          <w:rFonts w:hint="eastAsia" w:ascii="仿宋_GB2312" w:hAnsi="仿宋_GB2312" w:eastAsia="仿宋_GB2312" w:cs="仿宋_GB2312"/>
          <w:b/>
          <w:bCs/>
          <w:sz w:val="32"/>
          <w:szCs w:val="32"/>
        </w:rPr>
        <w:t>强化行业管理，移民安置服务提速增效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按照《福建省仙游木兰抽水蓄能电站项目建设征地补偿和移民安置2024年度工作计划》，每月由专人负责对接新建工程移民安置进展情况，建立台账管理；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加强对已建水库仙游金钟水库工程移民安置竣工验收的业务指导，拟于2024年第四季度开展移民安置竣工验收工作；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做好福建省水利水电工程建设征地移民安置管理信息系统的录入和管理，构建移民管理机构、工程业主、主体设计单位、综合监理单位协同联动的信息共享平台，展示我县水利水电工程建设征地移民安置管理情况，便于上级监督和决策。</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0"/>
          <w:sz w:val="32"/>
          <w:szCs w:val="32"/>
          <w:lang w:val="en-US" w:eastAsia="zh-CN" w:bidi="ar"/>
        </w:rPr>
        <w:t>3.</w:t>
      </w:r>
      <w:r>
        <w:rPr>
          <w:rFonts w:hint="eastAsia" w:ascii="仿宋_GB2312" w:hAnsi="仿宋_GB2312" w:eastAsia="仿宋_GB2312" w:cs="仿宋_GB2312"/>
          <w:b/>
          <w:bCs/>
          <w:sz w:val="32"/>
          <w:szCs w:val="32"/>
        </w:rPr>
        <w:t>坚持多管齐下，资金绩效管理有效闭环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 xml:space="preserve">做好2023年度大中型水库移民后期扶持政策实施情况监测评估工作，认真落实县委巡察整改、省移民中心稽察整改工作，开展涉农资金骗补专项整治工作的自查和整改工作，并完善了直补资金发放等有关规定。以实实在在的整改成效推动水库移民工作制度化、规范化、科学化发展。紧紧围绕今年绩效评价“保优进位”的目标，开展2023年度水库移民资金绩效自评工作，围绕项目决策、项目管理、项目产出、项目效益、移民满意度等内容，全面准备自评材料，开展自评工作,，配合省移民发展中心完成2023年度水库移民资金绩效评价现场复核工作，获得优秀等次。 </w:t>
      </w:r>
    </w:p>
    <w:p>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w:t>
      </w:r>
      <w:r>
        <w:rPr>
          <w:rFonts w:hint="eastAsia" w:ascii="仿宋_GB2312" w:hAnsi="仿宋_GB2312" w:eastAsia="仿宋_GB2312" w:cs="仿宋_GB2312"/>
          <w:b/>
          <w:bCs/>
          <w:sz w:val="32"/>
          <w:szCs w:val="32"/>
        </w:rPr>
        <w:t>聚焦综合治理，库区稳定局面持续巩固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坚持和发展新时代“枫桥经验”“浦江经验”，强化省、市、县三级矛盾联调，加强涉稳信息研判，落实信访工作目标责任制、领导接访约访包案、敏感时期“零报告”机制以及联动共治机制，规范来信来访办理。对三峡移民危房改造事项进行持续跟踪，配合化解，深化一线走访机制，对排摸出的困难移民、信访突出问题建档立卡、动态管理，强化风险化解稳控。2024年顺利完成省“两会”、全国“两会”、二十届三中全会、北戴河暑期和省内重大活动等重点时期移民信访维稳任务，取得了重点</w:t>
      </w:r>
      <w:r>
        <w:rPr>
          <w:rFonts w:hint="eastAsia" w:ascii="仿宋_GB2312" w:hAnsi="仿宋_GB2312" w:eastAsia="仿宋_GB2312" w:cs="仿宋_GB2312"/>
          <w:kern w:val="0"/>
          <w:sz w:val="32"/>
          <w:szCs w:val="32"/>
          <w:lang w:val="en-US" w:eastAsia="zh-CN" w:bidi="ar"/>
        </w:rPr>
        <w:t>敏感时段到省进京“零上访”的良好成效。</w:t>
      </w:r>
    </w:p>
    <w:p/>
    <w:p>
      <w:pPr>
        <w:rPr>
          <w:rFonts w:hint="default" w:eastAsia="宋体"/>
          <w:lang w:val="en-US" w:eastAsia="zh-CN"/>
        </w:rPr>
        <w:sectPr>
          <w:footerReference r:id="rId6" w:type="default"/>
          <w:pgSz w:w="11906" w:h="16838"/>
          <w:pgMar w:top="1440" w:right="720" w:bottom="1440" w:left="720" w:header="720" w:footer="720" w:gutter="0"/>
          <w:cols w:space="720" w:num="1"/>
        </w:sectPr>
      </w:pPr>
      <w:r>
        <w:rPr>
          <w:rFonts w:hint="eastAsia"/>
          <w:lang w:val="en-US" w:eastAsia="zh-CN"/>
        </w:rPr>
        <w:t xml:space="preserve">      </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29"/>
      <w:bookmarkStart w:id="26" w:name="_Toc256000079"/>
      <w:bookmarkStart w:id="27" w:name="_Toc256000004"/>
      <w:bookmarkStart w:id="28" w:name="_Toc256000104"/>
      <w:bookmarkStart w:id="29" w:name="_Toc256000054"/>
      <w:bookmarkStart w:id="30" w:name="_Toc25600002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05"/>
      <w:bookmarkStart w:id="32" w:name="_Toc256000030"/>
      <w:bookmarkStart w:id="33" w:name="_Toc256000130"/>
      <w:bookmarkStart w:id="34" w:name="_Toc256000080"/>
      <w:bookmarkStart w:id="35" w:name="_Toc256000105"/>
      <w:bookmarkStart w:id="36" w:name="_Toc256000055"/>
      <w:r>
        <w:rPr>
          <w:rFonts w:ascii="黑体" w:hAnsi="黑体" w:eastAsia="黑体" w:cs="黑体"/>
          <w:b w:val="0"/>
          <w:bCs w:val="0"/>
          <w:spacing w:val="0"/>
        </w:rPr>
        <w:t>一、收入支出决算总表</w:t>
      </w:r>
      <w:bookmarkEnd w:id="31"/>
      <w:bookmarkEnd w:id="32"/>
      <w:bookmarkEnd w:id="33"/>
      <w:bookmarkEnd w:id="34"/>
      <w:bookmarkEnd w:id="35"/>
      <w:bookmarkEnd w:id="36"/>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3789"/>
        <w:gridCol w:w="3790"/>
        <w:gridCol w:w="3790"/>
        <w:gridCol w:w="3790"/>
      </w:tblGrid>
      <w:tr>
        <w:trPr>
          <w:cantSplit/>
          <w:tblHeader/>
        </w:trPr>
        <w:tc>
          <w:tcPr>
            <w:tcW w:w="16380" w:type="dxa"/>
            <w:gridSpan w:val="4"/>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pPr>
        <w:sectPr>
          <w:footerReference r:id="rId8"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131"/>
      <w:bookmarkStart w:id="38" w:name="_Toc256000031"/>
      <w:bookmarkStart w:id="39" w:name="_Toc256000056"/>
      <w:bookmarkStart w:id="40" w:name="_Toc256000081"/>
      <w:bookmarkStart w:id="41" w:name="_Toc256000006"/>
      <w:bookmarkStart w:id="42" w:name="_Toc256000106"/>
      <w:r>
        <w:rPr>
          <w:rFonts w:ascii="黑体" w:hAnsi="黑体" w:eastAsia="黑体" w:cs="黑体"/>
          <w:b w:val="0"/>
          <w:bCs w:val="0"/>
          <w:spacing w:val="0"/>
        </w:rPr>
        <w:t>二、收入决算表</w:t>
      </w:r>
      <w:bookmarkEnd w:id="37"/>
      <w:bookmarkEnd w:id="38"/>
      <w:bookmarkEnd w:id="39"/>
      <w:bookmarkEnd w:id="40"/>
      <w:bookmarkEnd w:id="41"/>
      <w:bookmarkEnd w:id="42"/>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trPr>
          <w:cantSplit/>
          <w:tblHeader/>
        </w:trPr>
        <w:tc>
          <w:tcPr>
            <w:tcW w:w="528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移民补助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14578" w:type="dxa"/>
            <w:gridSpan w:val="11"/>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pPr>
        <w:sectPr>
          <w:footerReference r:id="rId9"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32"/>
      <w:bookmarkStart w:id="44" w:name="_Toc256000132"/>
      <w:bookmarkStart w:id="45" w:name="_Toc256000082"/>
      <w:bookmarkStart w:id="46" w:name="_Toc256000107"/>
      <w:bookmarkStart w:id="47" w:name="_Toc256000057"/>
      <w:bookmarkStart w:id="48" w:name="_Toc256000007"/>
      <w:r>
        <w:rPr>
          <w:rFonts w:ascii="黑体" w:hAnsi="黑体" w:eastAsia="黑体" w:cs="黑体"/>
          <w:b w:val="0"/>
          <w:bCs w:val="0"/>
          <w:spacing w:val="0"/>
        </w:rPr>
        <w:t>三、支出决算表</w:t>
      </w:r>
      <w:bookmarkEnd w:id="43"/>
      <w:bookmarkEnd w:id="44"/>
      <w:bookmarkEnd w:id="45"/>
      <w:bookmarkEnd w:id="46"/>
      <w:bookmarkEnd w:id="47"/>
      <w:bookmarkEnd w:id="48"/>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移民补助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pPr>
        <w:sectPr>
          <w:footerReference r:id="rId10"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58"/>
      <w:bookmarkStart w:id="50" w:name="_Toc256000083"/>
      <w:bookmarkStart w:id="51" w:name="_Toc256000033"/>
      <w:bookmarkStart w:id="52" w:name="_Toc256000108"/>
      <w:bookmarkStart w:id="53" w:name="_Toc256000008"/>
      <w:bookmarkStart w:id="54" w:name="_Toc256000133"/>
      <w:r>
        <w:rPr>
          <w:rFonts w:ascii="黑体" w:hAnsi="黑体" w:eastAsia="黑体" w:cs="黑体"/>
          <w:b w:val="0"/>
          <w:bCs w:val="0"/>
          <w:spacing w:val="0"/>
        </w:rPr>
        <w:t>四、财政拨款收入支出决算总表</w:t>
      </w:r>
      <w:bookmarkEnd w:id="49"/>
      <w:bookmarkEnd w:id="50"/>
      <w:bookmarkEnd w:id="51"/>
      <w:bookmarkEnd w:id="52"/>
      <w:bookmarkEnd w:id="53"/>
      <w:bookmarkEnd w:id="54"/>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445.26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460.71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pPr>
        <w:sectPr>
          <w:footerReference r:id="rId11"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59"/>
      <w:bookmarkStart w:id="56" w:name="_Toc256000134"/>
      <w:bookmarkStart w:id="57" w:name="_Toc256000109"/>
      <w:bookmarkStart w:id="58" w:name="_Toc256000034"/>
      <w:bookmarkStart w:id="59" w:name="_Toc256000084"/>
      <w:bookmarkStart w:id="60" w:name="_Toc256000009"/>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tblPrEx>
          <w:tblCellMar>
            <w:top w:w="0" w:type="dxa"/>
            <w:left w:w="108" w:type="dxa"/>
            <w:bottom w:w="0" w:type="dxa"/>
            <w:right w:w="108" w:type="dxa"/>
          </w:tblCellMar>
        </w:tblPrEx>
        <w:trPr>
          <w:cantSplit/>
          <w:tblHeader/>
        </w:trPr>
        <w:tc>
          <w:tcPr>
            <w:tcW w:w="16379"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75.71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其他水利支出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79"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pPr>
        <w:sectPr>
          <w:footerReference r:id="rId12" w:type="default"/>
          <w:pgSz w:w="16383" w:h="11906" w:orient="landscape"/>
          <w:pgMar w:top="1134" w:right="720" w:bottom="1134" w:left="720" w:header="720" w:footer="720" w:gutter="0"/>
          <w:cols w:space="720" w:num="1"/>
        </w:sectPr>
      </w:pPr>
    </w:p>
    <w:p>
      <w:pPr>
        <w:widowControl/>
        <w:jc w:val="left"/>
        <w:rPr>
          <w:rFonts w:ascii="宋体" w:hAnsi="宋体" w:cs="宋体"/>
          <w:spacing w:val="0"/>
          <w:kern w:val="0"/>
          <w:sz w:val="23"/>
          <w:szCs w:val="23"/>
        </w:rPr>
      </w:pPr>
      <w:r>
        <w:rPr>
          <w:rFonts w:ascii="宋体" w:hAnsi="宋体" w:cs="宋体"/>
          <w:spacing w:val="0"/>
          <w:kern w:val="0"/>
          <w:sz w:val="23"/>
          <w:szCs w:val="23"/>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060"/>
      <w:bookmarkStart w:id="62" w:name="_Toc256000010"/>
      <w:bookmarkStart w:id="63" w:name="_Toc256000085"/>
      <w:bookmarkStart w:id="64" w:name="_Toc256000135"/>
      <w:bookmarkStart w:id="65" w:name="_Toc256000035"/>
      <w:bookmarkStart w:id="66" w:name="_Toc256000110"/>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68.06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11.73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69.13</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6.59</w:t>
            </w:r>
          </w:p>
        </w:tc>
      </w:tr>
      <w:tr>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pPr>
        <w:sectPr>
          <w:footerReference r:id="rId13" w:type="default"/>
          <w:pgSz w:w="16383" w:h="11906" w:orient="landscape"/>
          <w:pgMar w:top="1134" w:right="720" w:bottom="1134" w:left="720" w:header="720" w:footer="720" w:gutter="0"/>
          <w:cols w:space="720" w:num="1"/>
        </w:sectPr>
      </w:pPr>
    </w:p>
    <w:p>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11"/>
      <w:bookmarkStart w:id="68" w:name="_Toc256000086"/>
      <w:bookmarkStart w:id="69" w:name="_Toc256000036"/>
      <w:bookmarkStart w:id="70" w:name="_Toc256000111"/>
      <w:bookmarkStart w:id="71" w:name="_Toc256000061"/>
      <w:bookmarkStart w:id="72" w:name="_Toc256000136"/>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5000" w:type="pct"/>
        <w:tblInd w:w="20" w:type="dxa"/>
        <w:tblLayout w:type="fixed"/>
        <w:tblCellMar>
          <w:top w:w="0" w:type="dxa"/>
          <w:left w:w="108" w:type="dxa"/>
          <w:bottom w:w="0" w:type="dxa"/>
          <w:right w:w="108" w:type="dxa"/>
        </w:tblCellMar>
      </w:tblPr>
      <w:tblGrid>
        <w:gridCol w:w="5053"/>
        <w:gridCol w:w="5053"/>
        <w:gridCol w:w="5053"/>
      </w:tblGrid>
      <w:tr>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pPr>
        <w:sectPr>
          <w:footerReference r:id="rId14" w:type="default"/>
          <w:pgSz w:w="16383" w:h="11906" w:orient="landscape"/>
          <w:pgMar w:top="1134" w:right="720" w:bottom="1134" w:left="720" w:header="720" w:footer="720" w:gutter="0"/>
          <w:cols w:space="720" w:num="1"/>
        </w:sectPr>
      </w:pP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112"/>
      <w:bookmarkStart w:id="74" w:name="_Toc256000012"/>
      <w:bookmarkStart w:id="75" w:name="_Toc256000037"/>
      <w:bookmarkStart w:id="76" w:name="_Toc256000062"/>
      <w:bookmarkStart w:id="77" w:name="_Toc256000137"/>
      <w:bookmarkStart w:id="78" w:name="_Toc256000087"/>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大中型水库移民后期扶持基金支出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2137201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移民补助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pPr>
        <w:sectPr>
          <w:footerReference r:id="rId15"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spacing w:val="0"/>
          <w:kern w:val="0"/>
          <w:sz w:val="32"/>
          <w:szCs w:val="32"/>
        </w:rPr>
        <w:t>九、国有资本经营预算财政拨款支出决算表</w:t>
      </w: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编制单位：仙游县水利水电工程移民发展中心</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pPr>
        <w:sectPr>
          <w:footerReference r:id="rId16" w:type="default"/>
          <w:pgSz w:w="16383" w:h="11906" w:orient="landscape"/>
          <w:pgMar w:top="1134" w:right="720" w:bottom="1134" w:left="720" w:header="720" w:footer="720" w:gutter="0"/>
          <w:cols w:space="720" w:num="1"/>
        </w:sect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063"/>
      <w:bookmarkStart w:id="80" w:name="_Toc256000088"/>
      <w:bookmarkStart w:id="81" w:name="_Toc256000013"/>
      <w:bookmarkStart w:id="82" w:name="_Toc256000138"/>
      <w:bookmarkStart w:id="83" w:name="_Toc256000113"/>
      <w:bookmarkStart w:id="84" w:name="_Toc256000038"/>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pPr>
        <w:sectPr>
          <w:footerReference r:id="rId1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064"/>
      <w:bookmarkStart w:id="86" w:name="_Toc256000039"/>
      <w:bookmarkStart w:id="87" w:name="_Toc256000114"/>
      <w:bookmarkStart w:id="88" w:name="_Toc256000014"/>
      <w:bookmarkStart w:id="89" w:name="_Toc256000139"/>
      <w:bookmarkStart w:id="90" w:name="_Toc256000089"/>
      <w:r>
        <w:rPr>
          <w:rFonts w:ascii="黑体" w:hAnsi="黑体" w:eastAsia="黑体" w:cs="黑体"/>
          <w:b w:val="0"/>
          <w:bCs w:val="0"/>
          <w:spacing w:val="0"/>
        </w:rPr>
        <w:t>一、收入支出决算总体情况说明</w:t>
      </w:r>
      <w:bookmarkEnd w:id="85"/>
      <w:bookmarkEnd w:id="86"/>
      <w:bookmarkEnd w:id="87"/>
      <w:bookmarkEnd w:id="88"/>
      <w:bookmarkEnd w:id="89"/>
      <w:bookmarkEnd w:id="90"/>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pPr>
        <w:tabs>
          <w:tab w:val="left" w:pos="7513"/>
        </w:tabs>
        <w:adjustRightInd w:val="0"/>
        <w:snapToGrid w:val="0"/>
        <w:spacing w:line="560" w:lineRule="exact"/>
        <w:ind w:firstLine="640" w:firstLineChars="200"/>
        <w:rPr>
          <w:rFonts w:ascii="仿宋" w:hAnsi="仿宋" w:eastAsia="仿宋" w:cs="仿宋_GB2312"/>
          <w:sz w:val="32"/>
          <w:szCs w:val="32"/>
        </w:rPr>
      </w:pPr>
      <w:r>
        <w:rPr>
          <w:rFonts w:ascii="仿宋_GB2312" w:hAnsi="仿宋_GB2312" w:eastAsia="仿宋_GB2312" w:cs="仿宋_GB2312"/>
          <w:spacing w:val="0"/>
          <w:kern w:val="0"/>
          <w:sz w:val="32"/>
          <w:szCs w:val="32"/>
        </w:rPr>
        <w:t>2024年度本单位收入总计460.71万元，支出总计460.71万元，与上年决算数相比，各减少356.14万元，各</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43.60%。主要是</w:t>
      </w:r>
      <w:r>
        <w:rPr>
          <w:rFonts w:hint="eastAsia" w:ascii="仿宋_GB2312" w:hAnsi="仿宋_GB2312" w:eastAsia="仿宋_GB2312" w:cs="仿宋_GB2312"/>
          <w:spacing w:val="0"/>
          <w:kern w:val="0"/>
          <w:sz w:val="32"/>
          <w:szCs w:val="32"/>
          <w:lang w:eastAsia="zh-CN"/>
        </w:rPr>
        <w:t>：</w:t>
      </w:r>
      <w:r>
        <w:rPr>
          <w:rFonts w:hint="eastAsia" w:ascii="仿宋_GB2312" w:hAnsi="宋体" w:eastAsia="仿宋_GB2312" w:cs="Arial"/>
          <w:sz w:val="30"/>
          <w:szCs w:val="30"/>
        </w:rPr>
        <w:t>上级下拨的政府性基金减少所致致</w:t>
      </w:r>
      <w:r>
        <w:rPr>
          <w:rFonts w:ascii="??_GB2312" w:hAnsi="宋体" w:eastAsia="Times New Roman" w:cs="Arial"/>
          <w:sz w:val="32"/>
          <w:szCs w:val="32"/>
        </w:rPr>
        <w:t>。</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2024年度收入460.71万元，比上年决算数</w:t>
      </w:r>
      <w:r>
        <w:rPr>
          <w:rFonts w:ascii="仿宋_GB2312" w:hAnsi="仿宋_GB2312" w:eastAsia="仿宋_GB2312" w:cs="仿宋_GB2312"/>
          <w:kern w:val="0"/>
          <w:sz w:val="32"/>
          <w:szCs w:val="32"/>
        </w:rPr>
        <w:t>减少</w:t>
      </w:r>
      <w:r>
        <w:rPr>
          <w:rFonts w:ascii="仿宋_GB2312" w:hAnsi="仿宋_GB2312" w:eastAsia="仿宋_GB2312" w:cs="仿宋_GB2312"/>
          <w:spacing w:val="0"/>
          <w:kern w:val="0"/>
          <w:sz w:val="32"/>
          <w:szCs w:val="32"/>
        </w:rPr>
        <w:t>356.14万元，</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43.60%，具体情况如下：</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1.一般公共预算财政拨款收入77.61万元。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2.政府性基金预算财政拨款收入383.10万元。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2024年度支出460.71万元，比上年决算数减少356.14万元，下降43.60%，具体情况如下：</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1.基本支出75.71万元。其中，人员支出69.13万元，公用支出6.59万元。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2.项目支出385.00万元。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65"/>
      <w:bookmarkStart w:id="92" w:name="_Toc256000115"/>
      <w:bookmarkStart w:id="93" w:name="_Toc256000140"/>
      <w:bookmarkStart w:id="94" w:name="_Toc256000040"/>
      <w:bookmarkStart w:id="95" w:name="_Toc256000090"/>
      <w:bookmarkStart w:id="96" w:name="_Toc256000015"/>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pPr>
        <w:tabs>
          <w:tab w:val="left" w:pos="7513"/>
        </w:tabs>
        <w:adjustRightInd w:val="0"/>
        <w:snapToGrid w:val="0"/>
        <w:spacing w:line="560" w:lineRule="exact"/>
        <w:ind w:firstLine="640" w:firstLineChars="200"/>
        <w:rPr>
          <w:rFonts w:ascii="仿宋" w:hAnsi="仿宋" w:eastAsia="仿宋" w:cs="仿宋_GB2312"/>
          <w:sz w:val="32"/>
          <w:szCs w:val="32"/>
        </w:rPr>
      </w:pPr>
      <w:r>
        <w:rPr>
          <w:rFonts w:ascii="仿宋_GB2312" w:hAnsi="仿宋_GB2312" w:eastAsia="仿宋_GB2312" w:cs="仿宋_GB2312"/>
          <w:spacing w:val="0"/>
          <w:kern w:val="0"/>
          <w:sz w:val="32"/>
          <w:szCs w:val="32"/>
        </w:rPr>
        <w:t>2024年度财政拨款收入总计460.71万元，支出总计460.71万元，与上年决算数相比，各减少356.14万元，下降43.60%，主要是：</w:t>
      </w:r>
      <w:r>
        <w:rPr>
          <w:rFonts w:hint="eastAsia" w:ascii="仿宋_GB2312" w:hAnsi="宋体" w:eastAsia="仿宋_GB2312" w:cs="Arial"/>
          <w:sz w:val="30"/>
          <w:szCs w:val="30"/>
        </w:rPr>
        <w:t>上级下拨的政府性基金减少所致致</w:t>
      </w:r>
      <w:r>
        <w:rPr>
          <w:rFonts w:ascii="??_GB2312" w:hAnsi="宋体" w:eastAsia="Times New Roman" w:cs="Arial"/>
          <w:sz w:val="32"/>
          <w:szCs w:val="32"/>
        </w:rPr>
        <w:t>。</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116"/>
      <w:bookmarkStart w:id="98" w:name="_Toc256000091"/>
      <w:bookmarkStart w:id="99" w:name="_Toc256000141"/>
      <w:bookmarkStart w:id="100" w:name="_Toc256000016"/>
      <w:bookmarkStart w:id="101" w:name="_Toc256000041"/>
      <w:bookmarkStart w:id="102" w:name="_Toc256000066"/>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2024年一般公共预算财政拨款支出77.61万元，比上年决算数减少8.46万元，下降9.83%，具体情况如下(按</w:t>
      </w:r>
      <w:r>
        <w:rPr>
          <w:rStyle w:val="31"/>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  （一）2080505 机关事业单位基本养老保险缴费支出 6.93万元，较上年决算数减少0.19万元，下降2.67%。主要原因是</w:t>
      </w:r>
      <w:r>
        <w:rPr>
          <w:rFonts w:hint="eastAsia" w:ascii="仿宋_GB2312" w:hAnsi="仿宋_GB2312" w:eastAsia="仿宋_GB2312" w:cs="仿宋_GB2312"/>
          <w:spacing w:val="0"/>
          <w:kern w:val="0"/>
          <w:sz w:val="32"/>
          <w:szCs w:val="32"/>
          <w:lang w:val="en-US" w:eastAsia="zh-CN"/>
        </w:rPr>
        <w:t xml:space="preserve"> 11月份退休1人所致。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  （二）2101101 行政单位医疗 2.16万元，较上年决算数减少0.06万元，下降2.70%。主要原因是</w:t>
      </w:r>
      <w:r>
        <w:rPr>
          <w:rFonts w:hint="eastAsia" w:ascii="仿宋_GB2312" w:hAnsi="仿宋_GB2312" w:eastAsia="仿宋_GB2312" w:cs="仿宋_GB2312"/>
          <w:spacing w:val="0"/>
          <w:kern w:val="0"/>
          <w:sz w:val="32"/>
          <w:szCs w:val="32"/>
          <w:lang w:val="en-US" w:eastAsia="zh-CN"/>
        </w:rPr>
        <w:t>11月份退休1人所致。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  （三）2130399 其他水利支出 0.03万元，较上年决算数增加0.03万元。主要原因是其他水利支出</w:t>
      </w:r>
      <w:r>
        <w:rPr>
          <w:rFonts w:hint="eastAsia" w:ascii="仿宋_GB2312" w:hAnsi="仿宋_GB2312" w:eastAsia="仿宋_GB2312" w:cs="仿宋_GB2312"/>
          <w:spacing w:val="0"/>
          <w:kern w:val="0"/>
          <w:sz w:val="32"/>
          <w:szCs w:val="32"/>
          <w:lang w:val="en-US" w:eastAsia="zh-CN"/>
        </w:rPr>
        <w:t>事项所致。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  （四）2139999 其他农林水支出 62.12万元，较上年决算数减少8.08万元，下降11.51%。主要原因是</w:t>
      </w:r>
      <w:r>
        <w:rPr>
          <w:rFonts w:hint="eastAsia" w:ascii="仿宋_GB2312" w:hAnsi="仿宋_GB2312" w:eastAsia="仿宋_GB2312" w:cs="仿宋_GB2312"/>
          <w:spacing w:val="0"/>
          <w:kern w:val="0"/>
          <w:sz w:val="32"/>
          <w:szCs w:val="32"/>
          <w:lang w:val="en-US" w:eastAsia="zh-CN"/>
        </w:rPr>
        <w:t>11月份退休1人所致。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  （五）2210201 住房公积金 6.37万元，较上年决算数减少0.16万元，下降2.52%。主要原因是</w:t>
      </w:r>
      <w:r>
        <w:rPr>
          <w:rFonts w:hint="eastAsia" w:ascii="仿宋_GB2312" w:hAnsi="仿宋_GB2312" w:eastAsia="仿宋_GB2312" w:cs="仿宋_GB2312"/>
          <w:spacing w:val="0"/>
          <w:kern w:val="0"/>
          <w:sz w:val="32"/>
          <w:szCs w:val="32"/>
          <w:lang w:val="en-US" w:eastAsia="zh-CN"/>
        </w:rPr>
        <w:t>11月份退休1人所致。</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7"/>
      <w:bookmarkStart w:id="104" w:name="_Toc256000092"/>
      <w:bookmarkStart w:id="105" w:name="_Toc256000042"/>
      <w:bookmarkStart w:id="106" w:name="_Toc256000117"/>
      <w:bookmarkStart w:id="107" w:name="_Toc256000142"/>
      <w:bookmarkStart w:id="108" w:name="_Toc256000067"/>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2024年度政府性基金支出383.10万元，比上年决算数减少347.68万元，下降47.58%，具体情况如下(按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pPr>
        <w:pStyle w:val="30"/>
        <w:widowControl/>
        <w:spacing w:before="100" w:after="100" w:line="560" w:lineRule="atLeast"/>
        <w:ind w:left="100" w:right="100" w:firstLine="0"/>
        <w:jc w:val="left"/>
        <w:rPr>
          <w:rFonts w:hint="default"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  （一）2137201 移民补助 383.10万元，较上年决算数增加383.10万元。主要原因是</w:t>
      </w:r>
      <w:r>
        <w:rPr>
          <w:rFonts w:hint="eastAsia" w:ascii="仿宋_GB2312" w:hAnsi="仿宋_GB2312" w:eastAsia="仿宋_GB2312" w:cs="仿宋_GB2312"/>
          <w:spacing w:val="0"/>
          <w:kern w:val="0"/>
          <w:sz w:val="32"/>
          <w:szCs w:val="32"/>
          <w:lang w:val="en-US" w:eastAsia="zh-CN"/>
        </w:rPr>
        <w:t>项级科目调整所致，2023年度</w:t>
      </w:r>
      <w:r>
        <w:rPr>
          <w:rFonts w:ascii="仿宋_GB2312" w:hAnsi="仿宋_GB2312" w:eastAsia="仿宋_GB2312" w:cs="仿宋_GB2312"/>
          <w:spacing w:val="0"/>
          <w:kern w:val="0"/>
          <w:sz w:val="32"/>
          <w:szCs w:val="32"/>
        </w:rPr>
        <w:t>移民补助</w:t>
      </w:r>
      <w:r>
        <w:rPr>
          <w:rFonts w:hint="eastAsia" w:ascii="仿宋_GB2312" w:hAnsi="仿宋_GB2312" w:eastAsia="仿宋_GB2312" w:cs="仿宋_GB2312"/>
          <w:spacing w:val="0"/>
          <w:kern w:val="0"/>
          <w:sz w:val="32"/>
          <w:szCs w:val="32"/>
          <w:lang w:val="en-US" w:eastAsia="zh-CN"/>
        </w:rPr>
        <w:t>的项级科目为2082201</w:t>
      </w:r>
      <w:r>
        <w:rPr>
          <w:rFonts w:ascii="仿宋_GB2312" w:hAnsi="仿宋_GB2312" w:eastAsia="仿宋_GB2312" w:cs="仿宋_GB2312"/>
          <w:kern w:val="0"/>
          <w:sz w:val="32"/>
          <w:szCs w:val="32"/>
        </w:rPr>
        <w:t>。</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18"/>
      <w:bookmarkStart w:id="110" w:name="_Toc256000143"/>
      <w:bookmarkStart w:id="111" w:name="_Toc256000068"/>
      <w:bookmarkStart w:id="112" w:name="_Toc256000043"/>
      <w:bookmarkStart w:id="113" w:name="_Toc256000118"/>
      <w:bookmarkStart w:id="114" w:name="_Toc256000093"/>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2024年度国有资本经营预算支出0万元，比上年决算数增加0万元，具体情况如下(按</w:t>
      </w:r>
      <w:r>
        <w:rPr>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统计)：</w:t>
      </w:r>
    </w:p>
    <w:p>
      <w:pPr>
        <w:pStyle w:val="30"/>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“本单位2024年度没有使用国有资本经营预算财政拨款安排的支出”。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44"/>
      <w:bookmarkStart w:id="116" w:name="_Toc256000019"/>
      <w:bookmarkStart w:id="117" w:name="_Toc256000144"/>
      <w:bookmarkStart w:id="118" w:name="_Toc256000069"/>
      <w:bookmarkStart w:id="119" w:name="_Toc256000119"/>
      <w:bookmarkStart w:id="120" w:name="_Toc256000094"/>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2024年度一般公共预算财政拨款基本支出75.71万元，其中：</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69.13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6.59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145"/>
      <w:bookmarkStart w:id="122" w:name="_Toc256000120"/>
      <w:bookmarkStart w:id="123" w:name="_Toc256000070"/>
      <w:bookmarkStart w:id="124" w:name="_Toc256000095"/>
      <w:bookmarkStart w:id="125" w:name="_Toc256000045"/>
      <w:bookmarkStart w:id="126" w:name="_Toc256000020"/>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2024年度一般公共预算拨款“三公”经费支出0万元，完成全年预算的0%；较上年增加0万元，增长0%。</w:t>
      </w:r>
      <w:r>
        <w:rPr>
          <w:rFonts w:ascii="仿宋_GB2312" w:hAnsi="仿宋_GB2312" w:eastAsia="仿宋_GB2312" w:cs="仿宋_GB2312"/>
          <w:kern w:val="0"/>
          <w:sz w:val="32"/>
          <w:szCs w:val="32"/>
        </w:rPr>
        <w:t>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spacing w:val="0"/>
          <w:kern w:val="0"/>
          <w:sz w:val="32"/>
          <w:szCs w:val="32"/>
        </w:rPr>
        <w:t>具体情况如下：</w:t>
      </w:r>
    </w:p>
    <w:p>
      <w:pPr>
        <w:pStyle w:val="30"/>
        <w:widowControl/>
        <w:numPr>
          <w:ilvl w:val="0"/>
          <w:numId w:val="1"/>
        </w:numPr>
        <w:spacing w:before="100" w:after="100" w:line="560" w:lineRule="atLeast"/>
        <w:ind w:left="100" w:right="10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因公出国（境）费支出0万元，完成全年预算的0%；较上年增加0万元，增长0%。与全年预算（或上年决算）持平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全年安排本单位组织的出国团组0个，参加其他单位出国团组个；全年因公出国（境）累计0 人次。</w:t>
      </w:r>
    </w:p>
    <w:p>
      <w:pPr>
        <w:pStyle w:val="30"/>
        <w:widowControl/>
        <w:numPr>
          <w:ilvl w:val="0"/>
          <w:numId w:val="0"/>
        </w:numPr>
        <w:spacing w:before="100" w:after="100" w:line="560" w:lineRule="atLeast"/>
        <w:ind w:left="0" w:leftChars="0" w:right="100" w:rightChars="0" w:firstLine="640" w:firstLineChars="20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（二）公务用车购置及运行费支出0万元，完成全年预算的0%；较上年</w:t>
      </w:r>
      <w:r>
        <w:rPr>
          <w:rFonts w:ascii="仿宋_GB2312" w:hAnsi="仿宋_GB2312" w:eastAsia="仿宋_GB2312" w:cs="仿宋_GB2312"/>
          <w:kern w:val="0"/>
          <w:sz w:val="32"/>
          <w:szCs w:val="32"/>
        </w:rPr>
        <w:t>增加0万元，增长0%。与全年预算（或上年决算）持平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其中：</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公务用车购置费支出0万元，完成全年预算的0%；较上年增加0万元，增长0%</w:t>
      </w:r>
      <w:r>
        <w:rPr>
          <w:rFonts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。2024年公务用车购置0辆。</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公务用车运行费支出0万元，完成全年预算的0%；较上年增加0万元，增长0%。</w:t>
      </w:r>
      <w:r>
        <w:rPr>
          <w:rFonts w:ascii="仿宋_GB2312" w:hAnsi="仿宋_GB2312" w:eastAsia="仿宋_GB2312" w:cs="仿宋_GB2312"/>
          <w:kern w:val="0"/>
          <w:sz w:val="32"/>
          <w:szCs w:val="32"/>
        </w:rPr>
        <w:t>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spacing w:val="0"/>
          <w:kern w:val="0"/>
          <w:sz w:val="32"/>
          <w:szCs w:val="32"/>
        </w:rPr>
        <w:t>截至2024年12月31日，本单位公务用车保有量为0辆。</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（三）公务接待费支出0万元，完成全年预算的 0%；较上年增加0万元，增长0%。与全年预算（或上年决算）持平</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累计接待0批次、0人次。</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96"/>
      <w:bookmarkStart w:id="128" w:name="_Toc256000121"/>
      <w:bookmarkStart w:id="129" w:name="_Toc256000146"/>
      <w:bookmarkStart w:id="130" w:name="_Toc256000021"/>
      <w:bookmarkStart w:id="131" w:name="_Toc256000046"/>
      <w:bookmarkStart w:id="132" w:name="_Toc256000071"/>
      <w:r>
        <w:rPr>
          <w:rFonts w:ascii="黑体" w:hAnsi="黑体" w:eastAsia="黑体" w:cs="黑体"/>
          <w:b w:val="0"/>
          <w:bCs w:val="0"/>
          <w:spacing w:val="0"/>
        </w:rPr>
        <w:t>八、预算绩效情况说明</w:t>
      </w:r>
      <w:bookmarkEnd w:id="127"/>
      <w:bookmarkEnd w:id="128"/>
      <w:bookmarkEnd w:id="129"/>
      <w:bookmarkEnd w:id="130"/>
      <w:bookmarkEnd w:id="131"/>
      <w:bookmarkEnd w:id="132"/>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根据预算绩效管理要求，本单位组织对2024年度个项目实施单位自评，分别是等项目，涉及财政拨款资金共计</w:t>
      </w:r>
      <w:r>
        <w:rPr>
          <w:rFonts w:hint="eastAsia" w:ascii="仿宋_GB2312" w:hAnsi="仿宋_GB2312" w:eastAsia="仿宋_GB2312" w:cs="仿宋_GB2312"/>
          <w:spacing w:val="0"/>
          <w:kern w:val="0"/>
          <w:sz w:val="32"/>
          <w:szCs w:val="32"/>
          <w:lang w:val="en-US" w:eastAsia="zh-CN"/>
        </w:rPr>
        <w:t>383.1</w:t>
      </w:r>
      <w:r>
        <w:rPr>
          <w:rFonts w:ascii="仿宋_GB2312" w:hAnsi="仿宋_GB2312" w:eastAsia="仿宋_GB2312" w:cs="仿宋_GB2312"/>
          <w:spacing w:val="0"/>
          <w:kern w:val="0"/>
          <w:sz w:val="32"/>
          <w:szCs w:val="32"/>
        </w:rPr>
        <w:t>万元。（《项目支出绩效自评表》详见附件）</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47"/>
      <w:bookmarkStart w:id="134" w:name="_Toc256000097"/>
      <w:bookmarkStart w:id="135" w:name="_Toc256000122"/>
      <w:bookmarkStart w:id="136" w:name="_Toc256000072"/>
      <w:bookmarkStart w:id="137" w:name="_Toc256000047"/>
      <w:bookmarkStart w:id="138" w:name="_Toc256000022"/>
      <w:r>
        <w:rPr>
          <w:rFonts w:ascii="黑体" w:hAnsi="黑体" w:eastAsia="黑体" w:cs="黑体"/>
          <w:b w:val="0"/>
          <w:bCs w:val="0"/>
          <w:spacing w:val="0"/>
        </w:rPr>
        <w:t>九、其他重要事项说明</w:t>
      </w:r>
      <w:bookmarkEnd w:id="133"/>
      <w:bookmarkEnd w:id="134"/>
      <w:bookmarkEnd w:id="135"/>
      <w:bookmarkEnd w:id="136"/>
      <w:bookmarkEnd w:id="137"/>
      <w:bookmarkEnd w:id="138"/>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2024年度机关运行经费支出6.59万元，比上年决算数增加0.51万元，增长8.40%，主要原因是: </w:t>
      </w:r>
      <w:r>
        <w:rPr>
          <w:rFonts w:hint="eastAsia" w:ascii="仿宋_GB2312" w:hAnsi="仿宋_GB2312" w:eastAsia="仿宋_GB2312" w:cs="仿宋_GB2312"/>
          <w:spacing w:val="0"/>
          <w:kern w:val="0"/>
          <w:sz w:val="32"/>
          <w:szCs w:val="32"/>
          <w:lang w:val="en-US" w:eastAsia="zh-CN"/>
        </w:rPr>
        <w:t xml:space="preserve"> 公务人员交通费补助增加所致</w:t>
      </w:r>
      <w:r>
        <w:rPr>
          <w:rFonts w:ascii="仿宋_GB2312" w:hAnsi="仿宋_GB2312" w:eastAsia="仿宋_GB2312" w:cs="仿宋_GB2312"/>
          <w:spacing w:val="0"/>
          <w:kern w:val="0"/>
          <w:sz w:val="32"/>
          <w:szCs w:val="32"/>
        </w:rPr>
        <w:t>。</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bookmarkStart w:id="151" w:name="_GoBack"/>
      <w:bookmarkEnd w:id="151"/>
      <w:r>
        <w:rPr>
          <w:rStyle w:val="31"/>
          <w:rFonts w:ascii="楷体_GB2312" w:hAnsi="楷体_GB2312" w:eastAsia="楷体_GB2312" w:cs="楷体_GB2312"/>
          <w:b/>
          <w:bCs/>
          <w:spacing w:val="0"/>
          <w:kern w:val="0"/>
          <w:sz w:val="32"/>
          <w:szCs w:val="32"/>
        </w:rPr>
        <w:t>（二）政府采购情况</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政府采购支出总额0.17万元，其中：政府采购货物支出0.17万元、政府采购工程支出0万元、政府采购服务支出0万元。授予中小企业合同金额0.17万元，占政府采购支出总额的100.00%，其中：授予小微企业合同金额0.17万元，占授予中小企业合同金额的100.00%；货物采购授予中小企业合同金额占货物支出金额的%，工程采购授予中小企业合同金额占工程支出金额的%，服务采购授予中小企业合同金额占服务支出金额的</w:t>
      </w:r>
      <w:r>
        <w:rPr>
          <w:rFonts w:ascii="仿宋_GB2312" w:hAnsi="仿宋_GB2312" w:eastAsia="仿宋_GB2312" w:cs="仿宋_GB2312"/>
          <w:kern w:val="0"/>
          <w:sz w:val="32"/>
          <w:szCs w:val="32"/>
        </w:rPr>
        <w:t>%。</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辆、机要通信用车0辆、应急保障用车0辆、执法执勤用车0辆、特种专业技术用车0辆、离退休干部用车0辆、其他用车0辆，其他用车主要是；单位价值100万元以上设备（不含车辆）0台（套）。  </w:t>
      </w:r>
    </w:p>
    <w:p>
      <w:pPr>
        <w:sectPr>
          <w:footerReference r:id="rId1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0"/>
        <w:widowControl/>
        <w:spacing w:before="100" w:after="100"/>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123"/>
      <w:bookmarkStart w:id="140" w:name="_Toc256000023"/>
      <w:bookmarkStart w:id="141" w:name="_Toc256000073"/>
      <w:bookmarkStart w:id="142" w:name="_Toc256000048"/>
      <w:bookmarkStart w:id="143" w:name="_Toc256000148"/>
      <w:bookmarkStart w:id="144" w:name="_Toc256000098"/>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pPr>
        <w:sectPr>
          <w:footerReference r:id="rId1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pPr>
        <w:pStyle w:val="30"/>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1"/>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pPr>
        <w:pStyle w:val="30"/>
        <w:widowControl/>
        <w:spacing w:before="240" w:after="240"/>
        <w:ind w:firstLine="643"/>
        <w:jc w:val="left"/>
        <w:rPr>
          <w:rFonts w:ascii="Times New Roman" w:hAnsi="Times New Roman" w:eastAsia="Times New Roman" w:cs="Times New Roman"/>
          <w:kern w:val="0"/>
          <w:sz w:val="24"/>
        </w:rPr>
      </w:pP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0"/>
        <w:widowControl/>
        <w:spacing w:before="240" w:after="240"/>
        <w:jc w:val="left"/>
        <w:rPr>
          <w:rFonts w:ascii="Times New Roman" w:hAnsi="Times New Roman" w:eastAsia="Times New Roman" w:cs="Times New Roman"/>
          <w:kern w:val="0"/>
          <w:sz w:val="24"/>
        </w:rPr>
      </w:pPr>
    </w:p>
    <w:p>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45" w:name="_Toc256000124"/>
      <w:bookmarkStart w:id="146" w:name="_Toc256000149"/>
      <w:bookmarkStart w:id="147" w:name="_Toc256000074"/>
      <w:bookmarkStart w:id="148" w:name="_Toc256000049"/>
      <w:bookmarkStart w:id="149" w:name="_Toc256000024"/>
      <w:bookmarkStart w:id="150" w:name="_Toc256000099"/>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45"/>
      <w:bookmarkEnd w:id="146"/>
      <w:bookmarkEnd w:id="147"/>
      <w:bookmarkEnd w:id="148"/>
      <w:bookmarkEnd w:id="149"/>
      <w:bookmarkEnd w:id="150"/>
    </w:p>
    <w:p>
      <w:pPr>
        <w:sectPr>
          <w:footerReference r:id="rId21"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bookmarkEnd w:id="0"/>
    <w:tbl>
      <w:tblPr>
        <w:tblStyle w:val="20"/>
        <w:tblpPr w:leftFromText="180" w:rightFromText="180" w:vertAnchor="text" w:horzAnchor="page" w:tblpX="524" w:tblpY="-12591"/>
        <w:tblOverlap w:val="never"/>
        <w:tblW w:w="10680" w:type="dxa"/>
        <w:tblInd w:w="0" w:type="dxa"/>
        <w:shd w:val="clear" w:color="auto" w:fill="auto"/>
        <w:tblLayout w:type="fixed"/>
        <w:tblCellMar>
          <w:top w:w="0" w:type="dxa"/>
          <w:left w:w="0" w:type="dxa"/>
          <w:bottom w:w="0" w:type="dxa"/>
          <w:right w:w="0" w:type="dxa"/>
        </w:tblCellMar>
      </w:tblPr>
      <w:tblGrid>
        <w:gridCol w:w="515"/>
        <w:gridCol w:w="1068"/>
        <w:gridCol w:w="922"/>
        <w:gridCol w:w="2264"/>
        <w:gridCol w:w="1051"/>
        <w:gridCol w:w="568"/>
        <w:gridCol w:w="1123"/>
        <w:gridCol w:w="813"/>
        <w:gridCol w:w="700"/>
        <w:gridCol w:w="848"/>
        <w:gridCol w:w="808"/>
      </w:tblGrid>
      <w:tr>
        <w:tblPrEx>
          <w:shd w:val="clear" w:color="auto" w:fill="auto"/>
          <w:tblCellMar>
            <w:top w:w="0" w:type="dxa"/>
            <w:left w:w="0" w:type="dxa"/>
            <w:bottom w:w="0" w:type="dxa"/>
            <w:right w:w="0" w:type="dxa"/>
          </w:tblCellMar>
        </w:tblPrEx>
        <w:trPr>
          <w:trHeight w:val="488" w:hRule="atLeast"/>
        </w:trPr>
        <w:tc>
          <w:tcPr>
            <w:tcW w:w="106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项目支出绩效自评表</w:t>
            </w:r>
          </w:p>
        </w:tc>
      </w:tr>
      <w:tr>
        <w:tblPrEx>
          <w:tblCellMar>
            <w:top w:w="0" w:type="dxa"/>
            <w:left w:w="0" w:type="dxa"/>
            <w:bottom w:w="0" w:type="dxa"/>
            <w:right w:w="0" w:type="dxa"/>
          </w:tblCellMar>
        </w:tblPrEx>
        <w:trPr>
          <w:trHeight w:val="331" w:hRule="atLeast"/>
        </w:trPr>
        <w:tc>
          <w:tcPr>
            <w:tcW w:w="106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trHeight w:val="341" w:hRule="atLeast"/>
        </w:trPr>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8175"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闽财农指【2022】104号提前下达2023年度中央水库移民扶持基金--直补资金</w:t>
            </w:r>
          </w:p>
        </w:tc>
      </w:tr>
      <w:tr>
        <w:tblPrEx>
          <w:tblCellMar>
            <w:top w:w="0" w:type="dxa"/>
            <w:left w:w="0" w:type="dxa"/>
            <w:bottom w:w="0" w:type="dxa"/>
            <w:right w:w="0" w:type="dxa"/>
          </w:tblCellMar>
        </w:tblPrEx>
        <w:trPr>
          <w:trHeight w:val="657" w:hRule="atLeast"/>
        </w:trPr>
        <w:tc>
          <w:tcPr>
            <w:tcW w:w="25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rPr>
          <w:trHeight w:val="341" w:hRule="atLeast"/>
        </w:trPr>
        <w:tc>
          <w:tcPr>
            <w:tcW w:w="25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817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发放移民直补资金6480人388.8万元，实施项目2个。</w:t>
            </w:r>
          </w:p>
        </w:tc>
      </w:tr>
      <w:tr>
        <w:tblPrEx>
          <w:tblCellMar>
            <w:top w:w="0" w:type="dxa"/>
            <w:left w:w="0" w:type="dxa"/>
            <w:bottom w:w="0" w:type="dxa"/>
            <w:right w:w="0" w:type="dxa"/>
          </w:tblCellMar>
        </w:tblPrEx>
        <w:trPr>
          <w:trHeight w:val="341" w:hRule="atLeast"/>
        </w:trPr>
        <w:tc>
          <w:tcPr>
            <w:tcW w:w="250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8175"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郊尾塘边村完成实施排水沟70米</w:t>
            </w:r>
          </w:p>
        </w:tc>
      </w:tr>
      <w:tr>
        <w:tblPrEx>
          <w:tblCellMar>
            <w:top w:w="0" w:type="dxa"/>
            <w:left w:w="0" w:type="dxa"/>
            <w:bottom w:w="0" w:type="dxa"/>
            <w:right w:w="0" w:type="dxa"/>
          </w:tblCellMar>
        </w:tblPrEx>
        <w:trPr>
          <w:trHeight w:val="657" w:hRule="atLeast"/>
        </w:trPr>
        <w:tc>
          <w:tcPr>
            <w:tcW w:w="51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341" w:hRule="atLeast"/>
        </w:trPr>
        <w:tc>
          <w:tcPr>
            <w:tcW w:w="5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146.74</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657" w:hRule="atLeast"/>
        </w:trPr>
        <w:tc>
          <w:tcPr>
            <w:tcW w:w="5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146.74</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81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41" w:hRule="atLeast"/>
        </w:trPr>
        <w:tc>
          <w:tcPr>
            <w:tcW w:w="5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41" w:hRule="atLeast"/>
        </w:trPr>
        <w:tc>
          <w:tcPr>
            <w:tcW w:w="51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41" w:hRule="atLeast"/>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631"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7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郊尾塘边村完成实施排水沟70米</w:t>
            </w:r>
          </w:p>
        </w:tc>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郊尾塘边村完成实施排水沟70米</w:t>
            </w:r>
          </w:p>
        </w:tc>
      </w:tr>
      <w:tr>
        <w:tblPrEx>
          <w:tblCellMar>
            <w:top w:w="0" w:type="dxa"/>
            <w:left w:w="0" w:type="dxa"/>
            <w:bottom w:w="0" w:type="dxa"/>
            <w:right w:w="0" w:type="dxa"/>
          </w:tblCellMar>
        </w:tblPrEx>
        <w:trPr>
          <w:trHeight w:val="1290" w:hRule="atLeast"/>
        </w:trPr>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10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331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604"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实施移民后扶项目建设排水沟长度</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≥70米</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4"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移民后扶项目验收合格率</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4"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项目完成及时率 </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93"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后期移民资金投入</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≤5.88万元</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5.88</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93"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移民后扶项目实施地移民受益总人数</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≥320人</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63" w:hRule="atLeast"/>
        </w:trPr>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项目实施地移民对后扶项目实施满意度</w:t>
            </w:r>
          </w:p>
        </w:tc>
        <w:tc>
          <w:tcPr>
            <w:tcW w:w="169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51" w:hRule="atLeast"/>
        </w:trPr>
        <w:tc>
          <w:tcPr>
            <w:tcW w:w="8324"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35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tbl>
      <w:tblPr>
        <w:tblStyle w:val="20"/>
        <w:tblW w:w="9760" w:type="dxa"/>
        <w:tblInd w:w="0" w:type="dxa"/>
        <w:shd w:val="clear" w:color="auto" w:fill="auto"/>
        <w:tblLayout w:type="fixed"/>
        <w:tblCellMar>
          <w:top w:w="0" w:type="dxa"/>
          <w:left w:w="0" w:type="dxa"/>
          <w:bottom w:w="0" w:type="dxa"/>
          <w:right w:w="0" w:type="dxa"/>
        </w:tblCellMar>
      </w:tblPr>
      <w:tblGrid>
        <w:gridCol w:w="639"/>
        <w:gridCol w:w="973"/>
        <w:gridCol w:w="1177"/>
        <w:gridCol w:w="1052"/>
        <w:gridCol w:w="627"/>
        <w:gridCol w:w="524"/>
        <w:gridCol w:w="797"/>
        <w:gridCol w:w="996"/>
        <w:gridCol w:w="1010"/>
        <w:gridCol w:w="860"/>
        <w:gridCol w:w="1105"/>
      </w:tblGrid>
      <w:tr>
        <w:tblPrEx>
          <w:tblCellMar>
            <w:top w:w="0" w:type="dxa"/>
            <w:left w:w="0" w:type="dxa"/>
            <w:bottom w:w="0" w:type="dxa"/>
            <w:right w:w="0" w:type="dxa"/>
          </w:tblCellMar>
        </w:tblPrEx>
        <w:trPr>
          <w:trHeight w:val="90" w:hRule="atLeast"/>
        </w:trPr>
        <w:tc>
          <w:tcPr>
            <w:tcW w:w="976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项目支出绩效自评表</w:t>
            </w:r>
          </w:p>
        </w:tc>
      </w:tr>
      <w:tr>
        <w:tblPrEx>
          <w:tblCellMar>
            <w:top w:w="0" w:type="dxa"/>
            <w:left w:w="0" w:type="dxa"/>
            <w:bottom w:w="0" w:type="dxa"/>
            <w:right w:w="0" w:type="dxa"/>
          </w:tblCellMar>
        </w:tblPrEx>
        <w:trPr>
          <w:trHeight w:val="90" w:hRule="atLeast"/>
        </w:trPr>
        <w:tc>
          <w:tcPr>
            <w:tcW w:w="976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trHeight w:val="90" w:hRule="atLeast"/>
        </w:trPr>
        <w:tc>
          <w:tcPr>
            <w:tcW w:w="27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6971"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闽财农指【2023】63号福建省财政厅福建省水利厅关于下达2023年第二批中央水库移民扶持基金的通知</w:t>
            </w:r>
          </w:p>
        </w:tc>
      </w:tr>
      <w:tr>
        <w:tblPrEx>
          <w:tblCellMar>
            <w:top w:w="0" w:type="dxa"/>
            <w:left w:w="0" w:type="dxa"/>
            <w:bottom w:w="0" w:type="dxa"/>
            <w:right w:w="0" w:type="dxa"/>
          </w:tblCellMar>
        </w:tblPrEx>
        <w:trPr>
          <w:trHeight w:val="90" w:hRule="atLeast"/>
        </w:trPr>
        <w:tc>
          <w:tcPr>
            <w:tcW w:w="278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90" w:hRule="atLeast"/>
        </w:trPr>
        <w:tc>
          <w:tcPr>
            <w:tcW w:w="278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697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经移民代表讨论公示并上报，资金来源为省专项资金。项目经省移民发展中心审核同意，在石苍乡济川村建设济水溪两侧护岸长600米步行道300米。在鲤南镇横塘村建设广场1处1432平方米。在大济镇山岑村硬化路面458平方米。在西苑乡半岭村硬化路面1051平方米。对50名大中型 水库移民及联带影响群众进行农业实用技术进行培训。由石苍乡、鲤南镇、大济镇、在西苑乡政府和县移民发展中心为业主组织实施，济川村、横塘村、山岑村和半岭村协助，项目能按要求完成</w:t>
            </w:r>
          </w:p>
        </w:tc>
      </w:tr>
      <w:tr>
        <w:tblPrEx>
          <w:tblCellMar>
            <w:top w:w="0" w:type="dxa"/>
            <w:left w:w="0" w:type="dxa"/>
            <w:bottom w:w="0" w:type="dxa"/>
            <w:right w:w="0" w:type="dxa"/>
          </w:tblCellMar>
        </w:tblPrEx>
        <w:trPr>
          <w:trHeight w:val="90" w:hRule="atLeast"/>
        </w:trPr>
        <w:tc>
          <w:tcPr>
            <w:tcW w:w="278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697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完成58名大中型水库移民及联带影响群众进行农业实用技术进行培训，提高移民生产生活机能，促进移民增加收入</w:t>
            </w:r>
          </w:p>
        </w:tc>
      </w:tr>
      <w:tr>
        <w:tblPrEx>
          <w:tblCellMar>
            <w:top w:w="0" w:type="dxa"/>
            <w:left w:w="0" w:type="dxa"/>
            <w:bottom w:w="0" w:type="dxa"/>
            <w:right w:w="0" w:type="dxa"/>
          </w:tblCellMar>
        </w:tblPrEx>
        <w:trPr>
          <w:trHeight w:val="90" w:hRule="atLeast"/>
        </w:trPr>
        <w:tc>
          <w:tcPr>
            <w:tcW w:w="63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99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3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完成50名大中型水库移民及联带影响群众进行农业实用技术进行培训</w:t>
            </w:r>
          </w:p>
        </w:tc>
        <w:tc>
          <w:tcPr>
            <w:tcW w:w="47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完成58名大中型水库移民及联带影响群众进行农业实用技术进行培训</w:t>
            </w:r>
          </w:p>
        </w:tc>
      </w:tr>
      <w:tr>
        <w:tblPrEx>
          <w:tblCellMar>
            <w:top w:w="0" w:type="dxa"/>
            <w:left w:w="0" w:type="dxa"/>
            <w:bottom w:w="0" w:type="dxa"/>
            <w:right w:w="0" w:type="dxa"/>
          </w:tblCellMar>
        </w:tblPrEx>
        <w:trPr>
          <w:trHeight w:val="90" w:hRule="atLeast"/>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97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167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培训移民及连带人数</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培训人员测试合格率</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培训完成及时性</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水库移民及联带影响群众进行农业实用技术进行培训投入</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4.95</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移民培训项目实施地移民受益人数</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移民对培训满意度</w:t>
            </w:r>
          </w:p>
        </w:tc>
        <w:tc>
          <w:tcPr>
            <w:tcW w:w="132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785"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tbl>
      <w:tblPr>
        <w:tblStyle w:val="20"/>
        <w:tblpPr w:leftFromText="180" w:rightFromText="180" w:vertAnchor="text" w:horzAnchor="page" w:tblpX="104" w:tblpY="659"/>
        <w:tblOverlap w:val="never"/>
        <w:tblW w:w="11295" w:type="dxa"/>
        <w:tblInd w:w="0" w:type="dxa"/>
        <w:shd w:val="clear" w:color="auto" w:fill="auto"/>
        <w:tblLayout w:type="fixed"/>
        <w:tblCellMar>
          <w:top w:w="0" w:type="dxa"/>
          <w:left w:w="0" w:type="dxa"/>
          <w:bottom w:w="0" w:type="dxa"/>
          <w:right w:w="0" w:type="dxa"/>
        </w:tblCellMar>
      </w:tblPr>
      <w:tblGrid>
        <w:gridCol w:w="625"/>
        <w:gridCol w:w="1132"/>
        <w:gridCol w:w="1205"/>
        <w:gridCol w:w="1731"/>
        <w:gridCol w:w="88"/>
        <w:gridCol w:w="1285"/>
        <w:gridCol w:w="1269"/>
        <w:gridCol w:w="975"/>
        <w:gridCol w:w="840"/>
        <w:gridCol w:w="840"/>
        <w:gridCol w:w="1305"/>
      </w:tblGrid>
      <w:tr>
        <w:tblPrEx>
          <w:shd w:val="clear" w:color="auto" w:fill="auto"/>
          <w:tblCellMar>
            <w:top w:w="0" w:type="dxa"/>
            <w:left w:w="0" w:type="dxa"/>
            <w:bottom w:w="0" w:type="dxa"/>
            <w:right w:w="0" w:type="dxa"/>
          </w:tblCellMar>
        </w:tblPrEx>
        <w:trPr>
          <w:trHeight w:val="244" w:hRule="atLeast"/>
        </w:trPr>
        <w:tc>
          <w:tcPr>
            <w:tcW w:w="1129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4849" w:firstLineChars="2300"/>
              <w:jc w:val="both"/>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ind w:firstLine="4849" w:firstLineChars="2300"/>
              <w:jc w:val="both"/>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ind w:firstLine="4849" w:firstLineChars="2300"/>
              <w:jc w:val="both"/>
              <w:textAlignment w:val="center"/>
              <w:rPr>
                <w:rFonts w:hint="default"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项目支出绩效自评表</w:t>
            </w:r>
            <w:r>
              <w:rPr>
                <w:rFonts w:hint="eastAsia" w:ascii="宋体" w:hAnsi="宋体" w:cs="宋体"/>
                <w:b/>
                <w:i w:val="0"/>
                <w:color w:val="000000"/>
                <w:kern w:val="0"/>
                <w:sz w:val="21"/>
                <w:szCs w:val="21"/>
                <w:u w:val="none"/>
                <w:lang w:val="en-US" w:eastAsia="zh-CN" w:bidi="ar"/>
              </w:rPr>
              <w:t xml:space="preserve">     </w:t>
            </w:r>
          </w:p>
        </w:tc>
      </w:tr>
      <w:tr>
        <w:tblPrEx>
          <w:tblCellMar>
            <w:top w:w="0" w:type="dxa"/>
            <w:left w:w="0" w:type="dxa"/>
            <w:bottom w:w="0" w:type="dxa"/>
            <w:right w:w="0" w:type="dxa"/>
          </w:tblCellMar>
        </w:tblPrEx>
        <w:trPr>
          <w:trHeight w:val="189" w:hRule="atLeast"/>
        </w:trPr>
        <w:tc>
          <w:tcPr>
            <w:tcW w:w="1129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trHeight w:val="232" w:hRule="atLeast"/>
        </w:trPr>
        <w:tc>
          <w:tcPr>
            <w:tcW w:w="29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8333"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闽财农指【2023】125号福建省  财政厅福建省水利厅关于提前下达2024年度中央水库扶持基金及重大水利建设基金的通知</w:t>
            </w:r>
          </w:p>
        </w:tc>
      </w:tr>
      <w:tr>
        <w:tblPrEx>
          <w:tblCellMar>
            <w:top w:w="0" w:type="dxa"/>
            <w:left w:w="0" w:type="dxa"/>
            <w:bottom w:w="0" w:type="dxa"/>
            <w:right w:w="0" w:type="dxa"/>
          </w:tblCellMar>
        </w:tblPrEx>
        <w:trPr>
          <w:trHeight w:val="245" w:hRule="atLeast"/>
        </w:trPr>
        <w:tc>
          <w:tcPr>
            <w:tcW w:w="2962"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31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仙游县水利水电工程移民发展</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中心</w:t>
            </w:r>
          </w:p>
        </w:tc>
      </w:tr>
      <w:tr>
        <w:tblPrEx>
          <w:tblCellMar>
            <w:top w:w="0" w:type="dxa"/>
            <w:left w:w="0" w:type="dxa"/>
            <w:bottom w:w="0" w:type="dxa"/>
            <w:right w:w="0" w:type="dxa"/>
          </w:tblCellMar>
        </w:tblPrEx>
        <w:trPr>
          <w:trHeight w:val="282" w:hRule="atLeast"/>
        </w:trPr>
        <w:tc>
          <w:tcPr>
            <w:tcW w:w="2962"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833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本项目为移民人口直补资金，每人每年600元，直补移民人数6433人，资金为385.98万元。经省主管部门审批后，通过仙游县农村商业银行扶贫惠农系统直接将直补资金拨入移民一折通或社保卡中</w:t>
            </w:r>
          </w:p>
        </w:tc>
      </w:tr>
      <w:tr>
        <w:tblPrEx>
          <w:tblCellMar>
            <w:top w:w="0" w:type="dxa"/>
            <w:left w:w="0" w:type="dxa"/>
            <w:bottom w:w="0" w:type="dxa"/>
            <w:right w:w="0" w:type="dxa"/>
          </w:tblCellMar>
        </w:tblPrEx>
        <w:trPr>
          <w:trHeight w:val="220" w:hRule="atLeast"/>
        </w:trPr>
        <w:tc>
          <w:tcPr>
            <w:tcW w:w="2962"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833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本项目为移民人口直补资金，每人每年600元，发放直补移民人数6385人，资金为383.1万元.增加移民收入，有利于移民社会安定稳定.</w:t>
            </w:r>
          </w:p>
        </w:tc>
      </w:tr>
      <w:tr>
        <w:tblPrEx>
          <w:tblCellMar>
            <w:top w:w="0" w:type="dxa"/>
            <w:left w:w="0" w:type="dxa"/>
            <w:bottom w:w="0" w:type="dxa"/>
            <w:right w:w="0" w:type="dxa"/>
          </w:tblCellMar>
        </w:tblPrEx>
        <w:trPr>
          <w:trHeight w:val="162" w:hRule="atLeast"/>
        </w:trPr>
        <w:tc>
          <w:tcPr>
            <w:tcW w:w="62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132" w:hRule="atLeast"/>
        </w:trPr>
        <w:tc>
          <w:tcPr>
            <w:tcW w:w="6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385.98</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383.10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99.25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100" w:hRule="atLeast"/>
        </w:trPr>
        <w:tc>
          <w:tcPr>
            <w:tcW w:w="6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385.98</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383.10</w:t>
            </w:r>
          </w:p>
        </w:tc>
        <w:tc>
          <w:tcPr>
            <w:tcW w:w="9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99.25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 w:hRule="atLeast"/>
        </w:trPr>
        <w:tc>
          <w:tcPr>
            <w:tcW w:w="6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 w:hRule="atLeast"/>
        </w:trPr>
        <w:tc>
          <w:tcPr>
            <w:tcW w:w="62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22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464"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按时足额发放移民人口直补资金。2.每人每年600元，发放人数6433人，发放资金总额为385.98万元。3.移民对发放移民直补资金满意度达80%以上。4.实现直补移民年均增加收入600元。5.符合移民直补资金发放率达100%，发放后将名单上传至省纪委监督的扶贫惠农系统。</w:t>
            </w:r>
          </w:p>
        </w:tc>
        <w:tc>
          <w:tcPr>
            <w:tcW w:w="522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本项目为移民人口直补资金，每人每年600元，实际发放直补移民人数6385人，资金为383.1万元</w:t>
            </w:r>
          </w:p>
        </w:tc>
      </w:tr>
      <w:tr>
        <w:tblPrEx>
          <w:tblCellMar>
            <w:top w:w="0" w:type="dxa"/>
            <w:left w:w="0" w:type="dxa"/>
            <w:bottom w:w="0" w:type="dxa"/>
            <w:right w:w="0" w:type="dxa"/>
          </w:tblCellMar>
        </w:tblPrEx>
        <w:trPr>
          <w:trHeight w:val="191" w:hRule="atLeast"/>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113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181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19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发放移民直补资金总投入</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≤385.98万元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383.1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rPr>
          <w:trHeight w:val="19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经济效益指标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增加人均移民经济收入</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移民对发放移民直补资金满意度</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发放移民直补资金人数</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≤6433人</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6385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1"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符合移民直补资金发放率</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43" w:hRule="atLeast"/>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移民直补资金按时发放率</w:t>
            </w:r>
          </w:p>
        </w:tc>
        <w:tc>
          <w:tcPr>
            <w:tcW w:w="255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39" w:hRule="atLeast"/>
        </w:trPr>
        <w:tc>
          <w:tcPr>
            <w:tcW w:w="8310"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tbl>
      <w:tblPr>
        <w:tblStyle w:val="20"/>
        <w:tblW w:w="9920" w:type="dxa"/>
        <w:tblInd w:w="0" w:type="dxa"/>
        <w:shd w:val="clear" w:color="auto" w:fill="auto"/>
        <w:tblLayout w:type="fixed"/>
        <w:tblCellMar>
          <w:top w:w="0" w:type="dxa"/>
          <w:left w:w="0" w:type="dxa"/>
          <w:bottom w:w="0" w:type="dxa"/>
          <w:right w:w="0" w:type="dxa"/>
        </w:tblCellMar>
      </w:tblPr>
      <w:tblGrid>
        <w:gridCol w:w="667"/>
        <w:gridCol w:w="922"/>
        <w:gridCol w:w="980"/>
        <w:gridCol w:w="1115"/>
        <w:gridCol w:w="381"/>
        <w:gridCol w:w="1333"/>
        <w:gridCol w:w="1032"/>
        <w:gridCol w:w="794"/>
        <w:gridCol w:w="823"/>
        <w:gridCol w:w="703"/>
        <w:gridCol w:w="1170"/>
      </w:tblGrid>
      <w:tr>
        <w:tblPrEx>
          <w:shd w:val="clear" w:color="auto" w:fill="auto"/>
          <w:tblCellMar>
            <w:top w:w="0" w:type="dxa"/>
            <w:left w:w="0" w:type="dxa"/>
            <w:bottom w:w="0" w:type="dxa"/>
            <w:right w:w="0" w:type="dxa"/>
          </w:tblCellMar>
        </w:tblPrEx>
        <w:trPr>
          <w:trHeight w:val="90" w:hRule="atLeast"/>
        </w:trPr>
        <w:tc>
          <w:tcPr>
            <w:tcW w:w="992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ind w:firstLine="3855" w:firstLineChars="16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项目支出绩效自评表</w:t>
            </w:r>
          </w:p>
        </w:tc>
      </w:tr>
      <w:tr>
        <w:tblPrEx>
          <w:tblCellMar>
            <w:top w:w="0" w:type="dxa"/>
            <w:left w:w="0" w:type="dxa"/>
            <w:bottom w:w="0" w:type="dxa"/>
            <w:right w:w="0" w:type="dxa"/>
          </w:tblCellMar>
        </w:tblPrEx>
        <w:trPr>
          <w:trHeight w:val="90" w:hRule="atLeast"/>
        </w:trPr>
        <w:tc>
          <w:tcPr>
            <w:tcW w:w="992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trHeight w:val="90" w:hRule="atLeast"/>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351"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闽财农指【2024】53号关于下达2024年第三批中央水库移民扶持基金的通知 </w:t>
            </w:r>
          </w:p>
        </w:tc>
      </w:tr>
      <w:tr>
        <w:tblPrEx>
          <w:tblCellMar>
            <w:top w:w="0" w:type="dxa"/>
            <w:left w:w="0" w:type="dxa"/>
            <w:bottom w:w="0" w:type="dxa"/>
            <w:right w:w="0" w:type="dxa"/>
          </w:tblCellMar>
        </w:tblPrEx>
        <w:trPr>
          <w:trHeight w:val="90" w:hRule="atLeast"/>
        </w:trPr>
        <w:tc>
          <w:tcPr>
            <w:tcW w:w="256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8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6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90" w:hRule="atLeast"/>
        </w:trPr>
        <w:tc>
          <w:tcPr>
            <w:tcW w:w="256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3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在度尾镇后埔村硬化生产道路1029米；在石苍乡石苍村拓宽道路并硬化1255米；在鲤南镇东山村建设视频监控系统，建设72台高清摄像机等。在盖尾镇南宝峰社区硬化生产道路880米</w:t>
            </w:r>
          </w:p>
        </w:tc>
      </w:tr>
      <w:tr>
        <w:tblPrEx>
          <w:tblCellMar>
            <w:top w:w="0" w:type="dxa"/>
            <w:left w:w="0" w:type="dxa"/>
            <w:bottom w:w="0" w:type="dxa"/>
            <w:right w:w="0" w:type="dxa"/>
          </w:tblCellMar>
        </w:tblPrEx>
        <w:trPr>
          <w:trHeight w:val="90" w:hRule="atLeast"/>
        </w:trPr>
        <w:tc>
          <w:tcPr>
            <w:tcW w:w="2569"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3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在度尾镇后埔村硬化生产道路1029米；在石苍乡石苍村拓宽道路并硬化1255米；在鲤南镇东山村建设视频监控系统，建设72台高清摄像机等。在盖尾镇南宝峰社区硬化生产道路880米</w:t>
            </w:r>
          </w:p>
        </w:tc>
      </w:tr>
      <w:tr>
        <w:tblPrEx>
          <w:tblCellMar>
            <w:top w:w="0" w:type="dxa"/>
            <w:left w:w="0" w:type="dxa"/>
            <w:bottom w:w="0" w:type="dxa"/>
            <w:right w:w="0" w:type="dxa"/>
          </w:tblCellMar>
        </w:tblPrEx>
        <w:trPr>
          <w:trHeight w:val="90" w:hRule="atLeast"/>
        </w:trPr>
        <w:tc>
          <w:tcPr>
            <w:tcW w:w="6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187.00</w:t>
            </w:r>
          </w:p>
        </w:tc>
        <w:tc>
          <w:tcPr>
            <w:tcW w:w="79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9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5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7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73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在度尾镇后埔村硬化生产道路1029米；在石苍乡石苍村拓宽道路并硬化1255米；在鲤南镇东山村建设视频监控系统，建设72台高清摄像机等。在盖尾镇南宝峰社区硬化生产道路880米</w:t>
            </w:r>
          </w:p>
        </w:tc>
        <w:tc>
          <w:tcPr>
            <w:tcW w:w="45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在度尾镇后埔村硬化生产道路1029米；在石苍乡石苍村拓宽道路并硬化1255米；在鲤南镇东山村建设视频监控系统，建设72台高清摄像机等。在盖尾镇南宝峰社区硬化生产道路880米</w:t>
            </w:r>
          </w:p>
        </w:tc>
      </w:tr>
      <w:tr>
        <w:tblPrEx>
          <w:tblCellMar>
            <w:top w:w="0" w:type="dxa"/>
            <w:left w:w="0" w:type="dxa"/>
            <w:bottom w:w="0" w:type="dxa"/>
            <w:right w:w="0" w:type="dxa"/>
          </w:tblCellMar>
        </w:tblPrEx>
        <w:trPr>
          <w:trHeight w:val="90"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9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49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指标分值</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自评得分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硬化生产道路长度</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≥3164米</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3164</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视频监控数量</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≥72台</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视频监控验收合格率</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硬化生产道路完成工期</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≥100天</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移民后期扶持项目移民资金总投入</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≤187万元</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移民后期扶持项目受益人数</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≥15670人</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15670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移民对后期扶持政策实施情况满意度</w:t>
            </w:r>
          </w:p>
        </w:tc>
        <w:tc>
          <w:tcPr>
            <w:tcW w:w="236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7224"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69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lang w:val="en-US" w:eastAsia="zh-CN"/>
        </w:rPr>
      </w:pPr>
    </w:p>
    <w:tbl>
      <w:tblPr>
        <w:tblStyle w:val="20"/>
        <w:tblW w:w="10020" w:type="dxa"/>
        <w:tblInd w:w="0" w:type="dxa"/>
        <w:shd w:val="clear" w:color="auto" w:fill="auto"/>
        <w:tblLayout w:type="autofit"/>
        <w:tblCellMar>
          <w:top w:w="0" w:type="dxa"/>
          <w:left w:w="0" w:type="dxa"/>
          <w:bottom w:w="0" w:type="dxa"/>
          <w:right w:w="0" w:type="dxa"/>
        </w:tblCellMar>
      </w:tblPr>
      <w:tblGrid>
        <w:gridCol w:w="568"/>
        <w:gridCol w:w="910"/>
        <w:gridCol w:w="1090"/>
        <w:gridCol w:w="1291"/>
        <w:gridCol w:w="537"/>
        <w:gridCol w:w="468"/>
        <w:gridCol w:w="880"/>
        <w:gridCol w:w="646"/>
        <w:gridCol w:w="1155"/>
        <w:gridCol w:w="1078"/>
        <w:gridCol w:w="1397"/>
      </w:tblGrid>
      <w:tr>
        <w:tblPrEx>
          <w:tblCellMar>
            <w:top w:w="0" w:type="dxa"/>
            <w:left w:w="0" w:type="dxa"/>
            <w:bottom w:w="0" w:type="dxa"/>
            <w:right w:w="0" w:type="dxa"/>
          </w:tblCellMar>
        </w:tblPrEx>
        <w:trPr>
          <w:trHeight w:val="600" w:hRule="atLeast"/>
        </w:trPr>
        <w:tc>
          <w:tcPr>
            <w:tcW w:w="100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CellMar>
            <w:top w:w="0" w:type="dxa"/>
            <w:left w:w="0" w:type="dxa"/>
            <w:bottom w:w="0" w:type="dxa"/>
            <w:right w:w="0" w:type="dxa"/>
          </w:tblCellMar>
        </w:tblPrEx>
        <w:trPr>
          <w:trHeight w:val="411" w:hRule="atLeast"/>
        </w:trPr>
        <w:tc>
          <w:tcPr>
            <w:tcW w:w="100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CellMar>
            <w:top w:w="0" w:type="dxa"/>
            <w:left w:w="0" w:type="dxa"/>
            <w:bottom w:w="0" w:type="dxa"/>
            <w:right w:w="0" w:type="dxa"/>
          </w:tblCellMar>
        </w:tblPrEx>
        <w:trPr>
          <w:trHeight w:val="411" w:hRule="atLeast"/>
        </w:trPr>
        <w:tc>
          <w:tcPr>
            <w:tcW w:w="26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专项名称</w:t>
            </w:r>
          </w:p>
        </w:tc>
        <w:tc>
          <w:tcPr>
            <w:tcW w:w="740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闽财农指〔2022〕053号中央水库移民后扶基金</w:t>
            </w:r>
          </w:p>
        </w:tc>
      </w:tr>
      <w:tr>
        <w:tblPrEx>
          <w:tblCellMar>
            <w:top w:w="0" w:type="dxa"/>
            <w:left w:w="0" w:type="dxa"/>
            <w:bottom w:w="0" w:type="dxa"/>
            <w:right w:w="0" w:type="dxa"/>
          </w:tblCellMar>
        </w:tblPrEx>
        <w:trPr>
          <w:trHeight w:val="411" w:hRule="atLeast"/>
        </w:trPr>
        <w:tc>
          <w:tcPr>
            <w:tcW w:w="26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仙游县水利局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仙游县水利水电工程移民发展中心</w:t>
            </w:r>
          </w:p>
        </w:tc>
      </w:tr>
      <w:tr>
        <w:tblPrEx>
          <w:tblCellMar>
            <w:top w:w="0" w:type="dxa"/>
            <w:left w:w="0" w:type="dxa"/>
            <w:bottom w:w="0" w:type="dxa"/>
            <w:right w:w="0" w:type="dxa"/>
          </w:tblCellMar>
        </w:tblPrEx>
        <w:trPr>
          <w:trHeight w:val="791" w:hRule="atLeast"/>
        </w:trPr>
        <w:tc>
          <w:tcPr>
            <w:tcW w:w="26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项目概况</w:t>
            </w:r>
          </w:p>
        </w:tc>
        <w:tc>
          <w:tcPr>
            <w:tcW w:w="740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1.实施项目2个；2.完工项目2个；3.资金完成率过100%；4.项目支出控制在批复预算范围内；5.移民对项目实施政策满意度达80%以上。</w:t>
            </w:r>
          </w:p>
        </w:tc>
      </w:tr>
      <w:tr>
        <w:tblPrEx>
          <w:tblCellMar>
            <w:top w:w="0" w:type="dxa"/>
            <w:left w:w="0" w:type="dxa"/>
            <w:bottom w:w="0" w:type="dxa"/>
            <w:right w:w="0" w:type="dxa"/>
          </w:tblCellMar>
        </w:tblPrEx>
        <w:trPr>
          <w:trHeight w:val="411" w:hRule="atLeast"/>
        </w:trPr>
        <w:tc>
          <w:tcPr>
            <w:tcW w:w="26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主要成效</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项目已完成</w:t>
            </w:r>
          </w:p>
        </w:tc>
      </w:tr>
      <w:tr>
        <w:tblPrEx>
          <w:tblCellMar>
            <w:top w:w="0" w:type="dxa"/>
            <w:left w:w="0" w:type="dxa"/>
            <w:bottom w:w="0" w:type="dxa"/>
            <w:right w:w="0" w:type="dxa"/>
          </w:tblCellMar>
        </w:tblPrEx>
        <w:trPr>
          <w:trHeight w:val="791"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CellMar>
            <w:top w:w="0" w:type="dxa"/>
            <w:left w:w="0" w:type="dxa"/>
            <w:bottom w:w="0" w:type="dxa"/>
            <w:right w:w="0" w:type="dxa"/>
          </w:tblCellMar>
        </w:tblPrEx>
        <w:trPr>
          <w:trHeight w:val="79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其中：当年财政拨款</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51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CellMar>
            <w:top w:w="0" w:type="dxa"/>
            <w:left w:w="0" w:type="dxa"/>
            <w:bottom w:w="0" w:type="dxa"/>
            <w:right w:w="0" w:type="dxa"/>
          </w:tblCellMar>
        </w:tblPrEx>
        <w:trPr>
          <w:trHeight w:val="76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指标变更,项目2个</w:t>
            </w:r>
          </w:p>
        </w:tc>
        <w:tc>
          <w:tcPr>
            <w:tcW w:w="515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完成项目2个</w:t>
            </w:r>
          </w:p>
        </w:tc>
      </w:tr>
      <w:tr>
        <w:tblPrEx>
          <w:tblCellMar>
            <w:top w:w="0" w:type="dxa"/>
            <w:left w:w="0" w:type="dxa"/>
            <w:bottom w:w="0" w:type="dxa"/>
            <w:right w:w="0" w:type="dxa"/>
          </w:tblCellMar>
        </w:tblPrEx>
        <w:trPr>
          <w:trHeight w:val="1172" w:hRule="atLeas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指标分值</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自评得分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项目个数</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≥0个</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项目开工率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11"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项目按计划完工率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工程概算执行率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生态效益指标</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农村卫生环境问题被举报率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728" w:hRule="atLeas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移民群体满意度</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3" w:hRule="atLeast"/>
        </w:trPr>
        <w:tc>
          <w:tcPr>
            <w:tcW w:w="650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总分值、评价总分 (S)</w:t>
            </w:r>
          </w:p>
        </w:tc>
        <w:tc>
          <w:tcPr>
            <w:tcW w:w="35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lang w:val="en-US" w:eastAsia="zh-CN"/>
        </w:rPr>
      </w:pPr>
    </w:p>
    <w:tbl>
      <w:tblPr>
        <w:tblStyle w:val="20"/>
        <w:tblW w:w="9900" w:type="dxa"/>
        <w:tblInd w:w="0" w:type="dxa"/>
        <w:shd w:val="clear" w:color="auto" w:fill="auto"/>
        <w:tblLayout w:type="fixed"/>
        <w:tblCellMar>
          <w:top w:w="0" w:type="dxa"/>
          <w:left w:w="0" w:type="dxa"/>
          <w:bottom w:w="0" w:type="dxa"/>
          <w:right w:w="0" w:type="dxa"/>
        </w:tblCellMar>
      </w:tblPr>
      <w:tblGrid>
        <w:gridCol w:w="548"/>
        <w:gridCol w:w="656"/>
        <w:gridCol w:w="909"/>
        <w:gridCol w:w="1357"/>
        <w:gridCol w:w="645"/>
        <w:gridCol w:w="584"/>
        <w:gridCol w:w="1001"/>
        <w:gridCol w:w="108"/>
        <w:gridCol w:w="1048"/>
        <w:gridCol w:w="1048"/>
        <w:gridCol w:w="705"/>
        <w:gridCol w:w="211"/>
        <w:gridCol w:w="1080"/>
      </w:tblGrid>
      <w:tr>
        <w:tblPrEx>
          <w:shd w:val="clear" w:color="auto" w:fill="auto"/>
          <w:tblCellMar>
            <w:top w:w="0" w:type="dxa"/>
            <w:left w:w="0" w:type="dxa"/>
            <w:bottom w:w="0" w:type="dxa"/>
            <w:right w:w="0" w:type="dxa"/>
          </w:tblCellMar>
        </w:tblPrEx>
        <w:trPr>
          <w:trHeight w:val="507" w:hRule="atLeast"/>
        </w:trPr>
        <w:tc>
          <w:tcPr>
            <w:tcW w:w="99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shd w:val="clear" w:color="auto" w:fill="auto"/>
          <w:tblCellMar>
            <w:top w:w="0" w:type="dxa"/>
            <w:left w:w="0" w:type="dxa"/>
            <w:bottom w:w="0" w:type="dxa"/>
            <w:right w:w="0" w:type="dxa"/>
          </w:tblCellMar>
        </w:tblPrEx>
        <w:trPr>
          <w:trHeight w:val="343" w:hRule="atLeast"/>
        </w:trPr>
        <w:tc>
          <w:tcPr>
            <w:tcW w:w="99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shd w:val="clear" w:color="auto" w:fill="auto"/>
          <w:tblCellMar>
            <w:top w:w="0" w:type="dxa"/>
            <w:left w:w="0" w:type="dxa"/>
            <w:bottom w:w="0" w:type="dxa"/>
            <w:right w:w="0" w:type="dxa"/>
          </w:tblCellMar>
        </w:tblPrEx>
        <w:trPr>
          <w:trHeight w:val="313" w:hRule="atLeast"/>
        </w:trPr>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787"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闽财指【2024】5号</w:t>
            </w:r>
          </w:p>
        </w:tc>
      </w:tr>
      <w:tr>
        <w:tblPrEx>
          <w:shd w:val="clear" w:color="auto" w:fill="auto"/>
          <w:tblCellMar>
            <w:top w:w="0" w:type="dxa"/>
            <w:left w:w="0" w:type="dxa"/>
            <w:bottom w:w="0" w:type="dxa"/>
            <w:right w:w="0" w:type="dxa"/>
          </w:tblCellMar>
        </w:tblPrEx>
        <w:trPr>
          <w:trHeight w:val="313" w:hRule="atLeast"/>
        </w:trPr>
        <w:tc>
          <w:tcPr>
            <w:tcW w:w="211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shd w:val="clear" w:color="auto" w:fill="auto"/>
          <w:tblCellMar>
            <w:top w:w="0" w:type="dxa"/>
            <w:left w:w="0" w:type="dxa"/>
            <w:bottom w:w="0" w:type="dxa"/>
            <w:right w:w="0" w:type="dxa"/>
          </w:tblCellMar>
        </w:tblPrEx>
        <w:trPr>
          <w:trHeight w:val="1174" w:hRule="atLeast"/>
        </w:trPr>
        <w:tc>
          <w:tcPr>
            <w:tcW w:w="211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78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本项目为移民培训项目。项目在赖店镇玉墩村进行，由县移民发展中心主办，玉墩村协办，由第三方负责培训，培训库区移民及连带人员100名。项目资金为大中型水库移民后扶资金，以闽财指【2024】5号文件下达 。项目经市水利局审批（莆市水利【2024】76号）。</w:t>
            </w:r>
          </w:p>
        </w:tc>
      </w:tr>
      <w:tr>
        <w:tblPrEx>
          <w:shd w:val="clear" w:color="auto" w:fill="auto"/>
          <w:tblCellMar>
            <w:top w:w="0" w:type="dxa"/>
            <w:left w:w="0" w:type="dxa"/>
            <w:bottom w:w="0" w:type="dxa"/>
            <w:right w:w="0" w:type="dxa"/>
          </w:tblCellMar>
        </w:tblPrEx>
        <w:trPr>
          <w:trHeight w:val="313" w:hRule="atLeast"/>
        </w:trPr>
        <w:tc>
          <w:tcPr>
            <w:tcW w:w="2113"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787"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培训库区移民及连带人员100名</w:t>
            </w:r>
          </w:p>
        </w:tc>
      </w:tr>
      <w:tr>
        <w:tblPrEx>
          <w:shd w:val="clear" w:color="auto" w:fill="auto"/>
          <w:tblCellMar>
            <w:top w:w="0" w:type="dxa"/>
            <w:left w:w="0" w:type="dxa"/>
            <w:bottom w:w="0" w:type="dxa"/>
            <w:right w:w="0" w:type="dxa"/>
          </w:tblCellMar>
        </w:tblPrEx>
        <w:trPr>
          <w:trHeight w:val="313" w:hRule="atLeast"/>
        </w:trPr>
        <w:tc>
          <w:tcPr>
            <w:tcW w:w="54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shd w:val="clear" w:color="auto" w:fill="auto"/>
          <w:tblCellMar>
            <w:top w:w="0" w:type="dxa"/>
            <w:left w:w="0" w:type="dxa"/>
            <w:bottom w:w="0" w:type="dxa"/>
            <w:right w:w="0" w:type="dxa"/>
          </w:tblCellMar>
        </w:tblPrEx>
        <w:trPr>
          <w:trHeight w:val="313" w:hRule="atLeast"/>
        </w:trPr>
        <w:tc>
          <w:tcPr>
            <w:tcW w:w="5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599" w:hRule="atLeast"/>
        </w:trPr>
        <w:tc>
          <w:tcPr>
            <w:tcW w:w="5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w:t>
            </w:r>
          </w:p>
        </w:tc>
        <w:tc>
          <w:tcPr>
            <w:tcW w:w="104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13" w:hRule="atLeast"/>
        </w:trPr>
        <w:tc>
          <w:tcPr>
            <w:tcW w:w="5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13" w:hRule="atLeast"/>
        </w:trPr>
        <w:tc>
          <w:tcPr>
            <w:tcW w:w="54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13"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2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shd w:val="clear" w:color="auto" w:fill="auto"/>
          <w:tblCellMar>
            <w:top w:w="0" w:type="dxa"/>
            <w:left w:w="0" w:type="dxa"/>
            <w:bottom w:w="0" w:type="dxa"/>
            <w:right w:w="0"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1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项目在赖店镇玉墩村进行，由县移民发展中心主办，玉墩村协办，由第三方负责培训，培训库区移民及连带人员100名。</w:t>
            </w:r>
          </w:p>
        </w:tc>
        <w:tc>
          <w:tcPr>
            <w:tcW w:w="520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项目在赖店镇玉墩村进行，由县移民发展中心主办，玉墩村协办，由第三方负责培训，完成培训库区移民及连带人员105名。</w:t>
            </w:r>
          </w:p>
        </w:tc>
      </w:tr>
      <w:tr>
        <w:tblPrEx>
          <w:shd w:val="clear" w:color="auto" w:fill="auto"/>
          <w:tblCellMar>
            <w:top w:w="0" w:type="dxa"/>
            <w:left w:w="0" w:type="dxa"/>
            <w:bottom w:w="0" w:type="dxa"/>
            <w:right w:w="0" w:type="dxa"/>
          </w:tblCellMar>
        </w:tblPrEx>
        <w:trPr>
          <w:trHeight w:val="887"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6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00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6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313"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培训移民及连带人员</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≥100人</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移民后期扶持项目培训移民及连带人员验收合格率</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移民后期扶持项目培训移民及连带人员及时完工率</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移民后期扶持项目培训移民及连带人员资金总投入</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≤10万元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9.89</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99"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移民后期扶持项目实施地受益人数</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≥400人</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87"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项目实施地移民对后期扶持政策实施情况满意度</w:t>
            </w:r>
          </w:p>
        </w:tc>
        <w:tc>
          <w:tcPr>
            <w:tcW w:w="169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23" w:hRule="atLeast"/>
        </w:trPr>
        <w:tc>
          <w:tcPr>
            <w:tcW w:w="5700"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42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lang w:val="en-US" w:eastAsia="zh-CN"/>
        </w:rPr>
      </w:pPr>
    </w:p>
    <w:tbl>
      <w:tblPr>
        <w:tblStyle w:val="20"/>
        <w:tblW w:w="9700" w:type="dxa"/>
        <w:tblInd w:w="0" w:type="dxa"/>
        <w:shd w:val="clear" w:color="auto" w:fill="auto"/>
        <w:tblLayout w:type="fixed"/>
        <w:tblCellMar>
          <w:top w:w="0" w:type="dxa"/>
          <w:left w:w="0" w:type="dxa"/>
          <w:bottom w:w="0" w:type="dxa"/>
          <w:right w:w="0" w:type="dxa"/>
        </w:tblCellMar>
      </w:tblPr>
      <w:tblGrid>
        <w:gridCol w:w="581"/>
        <w:gridCol w:w="557"/>
        <w:gridCol w:w="892"/>
        <w:gridCol w:w="201"/>
        <w:gridCol w:w="948"/>
        <w:gridCol w:w="854"/>
        <w:gridCol w:w="300"/>
        <w:gridCol w:w="203"/>
        <w:gridCol w:w="472"/>
        <w:gridCol w:w="863"/>
        <w:gridCol w:w="937"/>
        <w:gridCol w:w="870"/>
        <w:gridCol w:w="2022"/>
      </w:tblGrid>
      <w:tr>
        <w:tblPrEx>
          <w:tblCellMar>
            <w:top w:w="0" w:type="dxa"/>
            <w:left w:w="0" w:type="dxa"/>
            <w:bottom w:w="0" w:type="dxa"/>
            <w:right w:w="0" w:type="dxa"/>
          </w:tblCellMar>
        </w:tblPrEx>
        <w:trPr>
          <w:trHeight w:val="528" w:hRule="atLeast"/>
        </w:trPr>
        <w:tc>
          <w:tcPr>
            <w:tcW w:w="97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CellMar>
            <w:top w:w="0" w:type="dxa"/>
            <w:left w:w="0" w:type="dxa"/>
            <w:bottom w:w="0" w:type="dxa"/>
            <w:right w:w="0" w:type="dxa"/>
          </w:tblCellMar>
        </w:tblPrEx>
        <w:trPr>
          <w:trHeight w:val="357" w:hRule="atLeast"/>
        </w:trPr>
        <w:tc>
          <w:tcPr>
            <w:tcW w:w="97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CellMar>
            <w:top w:w="0" w:type="dxa"/>
            <w:left w:w="0" w:type="dxa"/>
            <w:bottom w:w="0" w:type="dxa"/>
            <w:right w:w="0" w:type="dxa"/>
          </w:tblCellMar>
        </w:tblPrEx>
        <w:trPr>
          <w:trHeight w:val="624" w:hRule="atLeast"/>
        </w:trPr>
        <w:tc>
          <w:tcPr>
            <w:tcW w:w="223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46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莆财农【2023】25号莆田市财政局莆田市水利局关于下达2023年小型水库移民扶助基金预算的通知 </w:t>
            </w:r>
          </w:p>
        </w:tc>
      </w:tr>
      <w:tr>
        <w:tblPrEx>
          <w:tblCellMar>
            <w:top w:w="0" w:type="dxa"/>
            <w:left w:w="0" w:type="dxa"/>
            <w:bottom w:w="0" w:type="dxa"/>
            <w:right w:w="0" w:type="dxa"/>
          </w:tblCellMar>
        </w:tblPrEx>
        <w:trPr>
          <w:trHeight w:val="326" w:hRule="atLeast"/>
        </w:trPr>
        <w:tc>
          <w:tcPr>
            <w:tcW w:w="2231"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30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1223" w:hRule="atLeast"/>
        </w:trPr>
        <w:tc>
          <w:tcPr>
            <w:tcW w:w="2231"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469"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经移民代表讨论公示并上报，资金来源为省专项资金。项目经省移民发展中心审核并由市水利局批复【莆田市水利局关于下达2023年度小型水库移民扶助项目计划的通知】（莆市水利【2023】80号），在盖尾镇后井村建设宽6米长26米桥梁1座。由盖尾镇政府为业主组织实施，后井村协助，项目能按要求完成</w:t>
            </w:r>
          </w:p>
        </w:tc>
      </w:tr>
      <w:tr>
        <w:tblPrEx>
          <w:tblCellMar>
            <w:top w:w="0" w:type="dxa"/>
            <w:left w:w="0" w:type="dxa"/>
            <w:bottom w:w="0" w:type="dxa"/>
            <w:right w:w="0" w:type="dxa"/>
          </w:tblCellMar>
        </w:tblPrEx>
        <w:trPr>
          <w:trHeight w:val="326" w:hRule="atLeast"/>
        </w:trPr>
        <w:tc>
          <w:tcPr>
            <w:tcW w:w="2231" w:type="dxa"/>
            <w:gridSpan w:val="4"/>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469"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在盖尾镇后井村建设宽6米长26米桥梁1座。</w:t>
            </w:r>
          </w:p>
        </w:tc>
      </w:tr>
      <w:tr>
        <w:tblPrEx>
          <w:tblCellMar>
            <w:top w:w="0" w:type="dxa"/>
            <w:left w:w="0" w:type="dxa"/>
            <w:bottom w:w="0" w:type="dxa"/>
            <w:right w:w="0" w:type="dxa"/>
          </w:tblCellMar>
        </w:tblPrEx>
        <w:trPr>
          <w:trHeight w:val="624" w:hRule="atLeast"/>
        </w:trPr>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326" w:hRule="atLeast"/>
        </w:trPr>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69.00</w:t>
            </w:r>
          </w:p>
        </w:tc>
        <w:tc>
          <w:tcPr>
            <w:tcW w:w="86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6" w:hRule="atLeast"/>
        </w:trPr>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6" w:hRule="atLeast"/>
        </w:trPr>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4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6"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3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36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75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在盖尾镇后井村建设宽6米长26米桥梁1座。</w:t>
            </w:r>
          </w:p>
        </w:tc>
        <w:tc>
          <w:tcPr>
            <w:tcW w:w="536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在盖尾镇后井村建设宽6米长26米桥梁1座。</w:t>
            </w:r>
          </w:p>
        </w:tc>
      </w:tr>
      <w:tr>
        <w:tblPrEx>
          <w:tblCellMar>
            <w:top w:w="0" w:type="dxa"/>
            <w:left w:w="0" w:type="dxa"/>
            <w:bottom w:w="0" w:type="dxa"/>
            <w:right w:w="0" w:type="dxa"/>
          </w:tblCellMar>
        </w:tblPrEx>
        <w:trPr>
          <w:trHeight w:val="624"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55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003"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实施移民后期扶持项目建设桥梁数量</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≥0座</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移民后期扶持项目验收合格率</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移民后期扶持项目及时完工率</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移民后期扶持项目移民资金总投入</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移民后期扶持项目实施地受益人数</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≥0人</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24" w:hRule="atLeast"/>
        </w:trPr>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0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项目实施地移民对后期扶持政策实施情况满意度</w:t>
            </w:r>
          </w:p>
        </w:tc>
        <w:tc>
          <w:tcPr>
            <w:tcW w:w="97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37" w:hRule="atLeast"/>
        </w:trPr>
        <w:tc>
          <w:tcPr>
            <w:tcW w:w="5871" w:type="dxa"/>
            <w:gridSpan w:val="10"/>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tbl>
      <w:tblPr>
        <w:tblStyle w:val="20"/>
        <w:tblW w:w="9760" w:type="dxa"/>
        <w:tblInd w:w="0" w:type="dxa"/>
        <w:shd w:val="clear" w:color="auto" w:fill="auto"/>
        <w:tblLayout w:type="fixed"/>
        <w:tblCellMar>
          <w:top w:w="0" w:type="dxa"/>
          <w:left w:w="0" w:type="dxa"/>
          <w:bottom w:w="0" w:type="dxa"/>
          <w:right w:w="0" w:type="dxa"/>
        </w:tblCellMar>
      </w:tblPr>
      <w:tblGrid>
        <w:gridCol w:w="299"/>
        <w:gridCol w:w="215"/>
        <w:gridCol w:w="422"/>
        <w:gridCol w:w="281"/>
        <w:gridCol w:w="736"/>
        <w:gridCol w:w="98"/>
        <w:gridCol w:w="601"/>
        <w:gridCol w:w="613"/>
        <w:gridCol w:w="718"/>
        <w:gridCol w:w="392"/>
        <w:gridCol w:w="1065"/>
        <w:gridCol w:w="1170"/>
        <w:gridCol w:w="1005"/>
        <w:gridCol w:w="732"/>
        <w:gridCol w:w="38"/>
        <w:gridCol w:w="1058"/>
        <w:gridCol w:w="314"/>
        <w:gridCol w:w="3"/>
      </w:tblGrid>
      <w:tr>
        <w:tblPrEx>
          <w:tblCellMar>
            <w:top w:w="0" w:type="dxa"/>
            <w:left w:w="0" w:type="dxa"/>
            <w:bottom w:w="0" w:type="dxa"/>
            <w:right w:w="0" w:type="dxa"/>
          </w:tblCellMar>
        </w:tblPrEx>
        <w:trPr>
          <w:gridAfter w:val="2"/>
          <w:wAfter w:w="317" w:type="dxa"/>
          <w:trHeight w:val="90" w:hRule="atLeast"/>
        </w:trPr>
        <w:tc>
          <w:tcPr>
            <w:tcW w:w="9443"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项目支出绩效自评表</w:t>
            </w:r>
          </w:p>
        </w:tc>
      </w:tr>
      <w:tr>
        <w:tblPrEx>
          <w:tblCellMar>
            <w:top w:w="0" w:type="dxa"/>
            <w:left w:w="0" w:type="dxa"/>
            <w:bottom w:w="0" w:type="dxa"/>
            <w:right w:w="0" w:type="dxa"/>
          </w:tblCellMar>
        </w:tblPrEx>
        <w:trPr>
          <w:gridAfter w:val="2"/>
          <w:wAfter w:w="317" w:type="dxa"/>
          <w:trHeight w:val="90" w:hRule="atLeast"/>
        </w:trPr>
        <w:tc>
          <w:tcPr>
            <w:tcW w:w="9443"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gridAfter w:val="2"/>
          <w:wAfter w:w="317" w:type="dxa"/>
          <w:trHeight w:val="90" w:hRule="atLeast"/>
        </w:trPr>
        <w:tc>
          <w:tcPr>
            <w:tcW w:w="195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490" w:type="dxa"/>
            <w:gridSpan w:val="11"/>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莆财农【2023】100号关于下达2023年第二批小型水库移民扶助基金的通知 </w:t>
            </w:r>
          </w:p>
        </w:tc>
      </w:tr>
      <w:tr>
        <w:tblPrEx>
          <w:tblCellMar>
            <w:top w:w="0" w:type="dxa"/>
            <w:left w:w="0" w:type="dxa"/>
            <w:bottom w:w="0" w:type="dxa"/>
            <w:right w:w="0" w:type="dxa"/>
          </w:tblCellMar>
        </w:tblPrEx>
        <w:trPr>
          <w:gridAfter w:val="2"/>
          <w:wAfter w:w="317" w:type="dxa"/>
          <w:trHeight w:val="90" w:hRule="atLeast"/>
        </w:trPr>
        <w:tc>
          <w:tcPr>
            <w:tcW w:w="195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262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gridAfter w:val="2"/>
          <w:wAfter w:w="317" w:type="dxa"/>
          <w:trHeight w:val="90" w:hRule="atLeast"/>
        </w:trPr>
        <w:tc>
          <w:tcPr>
            <w:tcW w:w="195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4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新建生产道路615米，路面4-5米，面层采用C30砼浇筑18cm。项目投资54.08万元，其中小型水库扶助资金48.14万元，其他资金5.94万元。项目由责任主体枫亭镇人民政府进行实施，枫亭镇九社村协助实施，项目能按时完成</w:t>
            </w:r>
          </w:p>
        </w:tc>
      </w:tr>
      <w:tr>
        <w:tblPrEx>
          <w:tblCellMar>
            <w:top w:w="0" w:type="dxa"/>
            <w:left w:w="0" w:type="dxa"/>
            <w:bottom w:w="0" w:type="dxa"/>
            <w:right w:w="0" w:type="dxa"/>
          </w:tblCellMar>
        </w:tblPrEx>
        <w:trPr>
          <w:gridAfter w:val="2"/>
          <w:wAfter w:w="317" w:type="dxa"/>
          <w:trHeight w:val="90" w:hRule="atLeast"/>
        </w:trPr>
        <w:tc>
          <w:tcPr>
            <w:tcW w:w="1953" w:type="dxa"/>
            <w:gridSpan w:val="5"/>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49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枫亭镇九社村新建生产道路615米，路面4-5米，面层采用C30砼浇筑18cm。项目投资54.08万元，其中小型水库扶助资金48.14万元，其他资金5.94万元。项目由责任主体枫亭镇人民政府进行实施，枫亭镇九社村协助实施，项目能按时完成</w:t>
            </w:r>
          </w:p>
        </w:tc>
      </w:tr>
      <w:tr>
        <w:tblPrEx>
          <w:tblCellMar>
            <w:top w:w="0" w:type="dxa"/>
            <w:left w:w="0" w:type="dxa"/>
            <w:bottom w:w="0" w:type="dxa"/>
            <w:right w:w="0" w:type="dxa"/>
          </w:tblCellMar>
        </w:tblPrEx>
        <w:trPr>
          <w:gridAfter w:val="2"/>
          <w:wAfter w:w="317" w:type="dxa"/>
          <w:trHeight w:val="90" w:hRule="atLeast"/>
        </w:trPr>
        <w:tc>
          <w:tcPr>
            <w:tcW w:w="29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gridAfter w:val="2"/>
          <w:wAfter w:w="317" w:type="dxa"/>
          <w:trHeight w:val="90" w:hRule="atLeast"/>
        </w:trPr>
        <w:tc>
          <w:tcPr>
            <w:tcW w:w="29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gridAfter w:val="2"/>
          <w:wAfter w:w="317" w:type="dxa"/>
          <w:trHeight w:val="90" w:hRule="atLeast"/>
        </w:trPr>
        <w:tc>
          <w:tcPr>
            <w:tcW w:w="29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7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2"/>
          <w:wAfter w:w="317" w:type="dxa"/>
          <w:trHeight w:val="90" w:hRule="atLeast"/>
        </w:trPr>
        <w:tc>
          <w:tcPr>
            <w:tcW w:w="29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2"/>
          <w:wAfter w:w="317" w:type="dxa"/>
          <w:trHeight w:val="90" w:hRule="atLeast"/>
        </w:trPr>
        <w:tc>
          <w:tcPr>
            <w:tcW w:w="29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6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2"/>
          <w:wAfter w:w="317" w:type="dxa"/>
          <w:trHeight w:val="90" w:hRule="atLeast"/>
        </w:trPr>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368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4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gridAfter w:val="2"/>
          <w:wAfter w:w="317"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68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杜松脚新建生产道路615米，路面4-5米，面层采用C30砼浇筑18cm。项目投资54.08万元，其中小型水库扶助资金48.14万元，其他资金5.94万元。项目由责任主体枫亭镇人民政府进行实施，枫亭镇九社村协助实施，项目能按时完成</w:t>
            </w:r>
          </w:p>
        </w:tc>
        <w:tc>
          <w:tcPr>
            <w:tcW w:w="546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亭镇九社村杜松脚新建生产道路615米，路面4-5米，面层采用C30砼浇筑18cm。</w:t>
            </w:r>
          </w:p>
        </w:tc>
      </w:tr>
      <w:tr>
        <w:tblPrEx>
          <w:tblCellMar>
            <w:top w:w="0" w:type="dxa"/>
            <w:left w:w="0" w:type="dxa"/>
            <w:bottom w:w="0" w:type="dxa"/>
            <w:right w:w="0" w:type="dxa"/>
          </w:tblCellMar>
        </w:tblPrEx>
        <w:trPr>
          <w:gridAfter w:val="1"/>
          <w:wAfter w:w="3" w:type="dxa"/>
          <w:trHeight w:val="90" w:hRule="atLeast"/>
        </w:trPr>
        <w:tc>
          <w:tcPr>
            <w:tcW w:w="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637"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03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移民后扶项目建设生产道路长度</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移民后扶项目验收合格率</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移民后扶项目及时完工率</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移民后扶项目移民资金总投入</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移民后扶项目实施地受益人数</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1"/>
          <w:wAfter w:w="3" w:type="dxa"/>
          <w:trHeight w:val="90" w:hRule="atLeast"/>
        </w:trPr>
        <w:tc>
          <w:tcPr>
            <w:tcW w:w="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0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项目实施地移民对后扶政策实施情况满意度</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gridAfter w:val="2"/>
          <w:wAfter w:w="317" w:type="dxa"/>
          <w:trHeight w:val="90" w:hRule="atLeast"/>
        </w:trPr>
        <w:tc>
          <w:tcPr>
            <w:tcW w:w="6610" w:type="dxa"/>
            <w:gridSpan w:val="1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90" w:hRule="atLeast"/>
        </w:trPr>
        <w:tc>
          <w:tcPr>
            <w:tcW w:w="9760" w:type="dxa"/>
            <w:gridSpan w:val="1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3162" w:firstLineChars="150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项目支出绩效自评表</w:t>
            </w:r>
          </w:p>
        </w:tc>
      </w:tr>
      <w:tr>
        <w:tblPrEx>
          <w:tblCellMar>
            <w:top w:w="0" w:type="dxa"/>
            <w:left w:w="0" w:type="dxa"/>
            <w:bottom w:w="0" w:type="dxa"/>
            <w:right w:w="0" w:type="dxa"/>
          </w:tblCellMar>
        </w:tblPrEx>
        <w:trPr>
          <w:trHeight w:val="90" w:hRule="atLeast"/>
        </w:trPr>
        <w:tc>
          <w:tcPr>
            <w:tcW w:w="9760" w:type="dxa"/>
            <w:gridSpan w:val="1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（2024年度）</w:t>
            </w:r>
          </w:p>
        </w:tc>
      </w:tr>
      <w:tr>
        <w:tblPrEx>
          <w:tblCellMar>
            <w:top w:w="0" w:type="dxa"/>
            <w:left w:w="0" w:type="dxa"/>
            <w:bottom w:w="0" w:type="dxa"/>
            <w:right w:w="0" w:type="dxa"/>
          </w:tblCellMar>
        </w:tblPrEx>
        <w:trPr>
          <w:trHeight w:val="90" w:hRule="atLeast"/>
        </w:trPr>
        <w:tc>
          <w:tcPr>
            <w:tcW w:w="205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709" w:type="dxa"/>
            <w:gridSpan w:val="1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莆财农【2023】100号关于下达2023年第二批小型水库移民扶助基金的通知 </w:t>
            </w:r>
          </w:p>
        </w:tc>
      </w:tr>
      <w:tr>
        <w:tblPrEx>
          <w:tblCellMar>
            <w:top w:w="0" w:type="dxa"/>
            <w:left w:w="0" w:type="dxa"/>
            <w:bottom w:w="0" w:type="dxa"/>
            <w:right w:w="0" w:type="dxa"/>
          </w:tblCellMar>
        </w:tblPrEx>
        <w:trPr>
          <w:trHeight w:val="90" w:hRule="atLeast"/>
        </w:trPr>
        <w:tc>
          <w:tcPr>
            <w:tcW w:w="2051"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3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315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90" w:hRule="atLeast"/>
        </w:trPr>
        <w:tc>
          <w:tcPr>
            <w:tcW w:w="2051"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7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新建生产道路615米，路面4-5米，面层采用C30砼浇筑18cm。项目投资54.08万元，其中小型水库扶助资金48.14万元，其他资金5.94万元。项目由责任主体枫亭镇人民政府进行实施，枫亭镇九社村协助实施，项目能按时完成</w:t>
            </w:r>
          </w:p>
        </w:tc>
      </w:tr>
      <w:tr>
        <w:tblPrEx>
          <w:tblCellMar>
            <w:top w:w="0" w:type="dxa"/>
            <w:left w:w="0" w:type="dxa"/>
            <w:bottom w:w="0" w:type="dxa"/>
            <w:right w:w="0" w:type="dxa"/>
          </w:tblCellMar>
        </w:tblPrEx>
        <w:trPr>
          <w:trHeight w:val="90" w:hRule="atLeast"/>
        </w:trPr>
        <w:tc>
          <w:tcPr>
            <w:tcW w:w="2051" w:type="dxa"/>
            <w:gridSpan w:val="6"/>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70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枫亭镇九社村新建生产道路615米，路面4-5米，面层采用C30砼浇筑18cm。项目投资54.08万元，其中小型水库扶助资金48.14万元，其他资金5.94万元。项目由责任主体枫亭镇人民政府进行实施，枫亭镇九社村协助实施，项目能按时完成</w:t>
            </w:r>
          </w:p>
        </w:tc>
      </w:tr>
      <w:tr>
        <w:tblPrEx>
          <w:tblCellMar>
            <w:top w:w="0" w:type="dxa"/>
            <w:left w:w="0" w:type="dxa"/>
            <w:bottom w:w="0" w:type="dxa"/>
            <w:right w:w="0" w:type="dxa"/>
          </w:tblCellMar>
        </w:tblPrEx>
        <w:trPr>
          <w:trHeight w:val="90" w:hRule="atLeast"/>
        </w:trPr>
        <w:tc>
          <w:tcPr>
            <w:tcW w:w="514"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48.14</w:t>
            </w:r>
          </w:p>
        </w:tc>
        <w:tc>
          <w:tcPr>
            <w:tcW w:w="117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5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3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杜松脚新建生产道路615米，路面4-5米，面层采用C30砼浇筑18cm。项目投资54.08万元，其中小型水库扶助资金48.14万元，其他资金5.94万元。项目由责任主体枫亭镇人民政府进行实施，枫亭镇九社村协助实施，项目能按时完成</w:t>
            </w:r>
          </w:p>
        </w:tc>
        <w:tc>
          <w:tcPr>
            <w:tcW w:w="53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亭镇九社村杜松脚新建生产道路615米，路面4-5米，面层采用C30砼浇筑18cm。</w:t>
            </w:r>
          </w:p>
        </w:tc>
      </w:tr>
      <w:tr>
        <w:tblPrEx>
          <w:tblCellMar>
            <w:top w:w="0" w:type="dxa"/>
            <w:left w:w="0" w:type="dxa"/>
            <w:bottom w:w="0" w:type="dxa"/>
            <w:right w:w="0" w:type="dxa"/>
          </w:tblCellMar>
        </w:tblPrEx>
        <w:trPr>
          <w:trHeight w:val="90" w:hRule="atLeast"/>
        </w:trPr>
        <w:tc>
          <w:tcPr>
            <w:tcW w:w="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70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030"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移民后扶项目建设生产道路长度</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移民后扶项目验收合格率</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移民后扶项目及时完工率</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移民后扶项目移民资金总投入</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移民后扶项目实施地受益人数</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项目实施地移民对后扶政策实施情况满意度</w:t>
            </w:r>
          </w:p>
        </w:tc>
        <w:tc>
          <w:tcPr>
            <w:tcW w:w="145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610" w:type="dxa"/>
            <w:gridSpan w:val="1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315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tbl>
      <w:tblPr>
        <w:tblStyle w:val="20"/>
        <w:tblW w:w="9920" w:type="dxa"/>
        <w:tblInd w:w="0" w:type="dxa"/>
        <w:shd w:val="clear" w:color="auto" w:fill="auto"/>
        <w:tblLayout w:type="fixed"/>
        <w:tblCellMar>
          <w:top w:w="0" w:type="dxa"/>
          <w:left w:w="0" w:type="dxa"/>
          <w:bottom w:w="0" w:type="dxa"/>
          <w:right w:w="0" w:type="dxa"/>
        </w:tblCellMar>
      </w:tblPr>
      <w:tblGrid>
        <w:gridCol w:w="476"/>
        <w:gridCol w:w="859"/>
        <w:gridCol w:w="1196"/>
        <w:gridCol w:w="2317"/>
        <w:gridCol w:w="1049"/>
        <w:gridCol w:w="816"/>
        <w:gridCol w:w="1005"/>
        <w:gridCol w:w="889"/>
        <w:gridCol w:w="1313"/>
      </w:tblGrid>
      <w:tr>
        <w:tblPrEx>
          <w:tblCellMar>
            <w:top w:w="0" w:type="dxa"/>
            <w:left w:w="0" w:type="dxa"/>
            <w:bottom w:w="0" w:type="dxa"/>
            <w:right w:w="0" w:type="dxa"/>
          </w:tblCellMar>
        </w:tblPrEx>
        <w:trPr>
          <w:trHeight w:val="90" w:hRule="atLeast"/>
        </w:trPr>
        <w:tc>
          <w:tcPr>
            <w:tcW w:w="992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CellMar>
            <w:top w:w="0" w:type="dxa"/>
            <w:left w:w="0" w:type="dxa"/>
            <w:bottom w:w="0" w:type="dxa"/>
            <w:right w:w="0" w:type="dxa"/>
          </w:tblCellMar>
        </w:tblPrEx>
        <w:trPr>
          <w:trHeight w:val="90" w:hRule="atLeast"/>
        </w:trPr>
        <w:tc>
          <w:tcPr>
            <w:tcW w:w="9920"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CellMar>
            <w:top w:w="0" w:type="dxa"/>
            <w:left w:w="0" w:type="dxa"/>
            <w:bottom w:w="0" w:type="dxa"/>
            <w:right w:w="0" w:type="dxa"/>
          </w:tblCellMar>
        </w:tblPrEx>
        <w:trPr>
          <w:trHeight w:val="90" w:hRule="atLeast"/>
        </w:trPr>
        <w:tc>
          <w:tcPr>
            <w:tcW w:w="25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莆财农【2023】年65号关于下达2023年度小型水库移民扶助基金预算的通知</w:t>
            </w:r>
          </w:p>
        </w:tc>
      </w:tr>
      <w:tr>
        <w:tblPrEx>
          <w:tblCellMar>
            <w:top w:w="0" w:type="dxa"/>
            <w:left w:w="0" w:type="dxa"/>
            <w:bottom w:w="0" w:type="dxa"/>
            <w:right w:w="0" w:type="dxa"/>
          </w:tblCellMar>
        </w:tblPrEx>
        <w:trPr>
          <w:trHeight w:val="90" w:hRule="atLeast"/>
        </w:trPr>
        <w:tc>
          <w:tcPr>
            <w:tcW w:w="2531"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40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90" w:hRule="atLeast"/>
        </w:trPr>
        <w:tc>
          <w:tcPr>
            <w:tcW w:w="2531"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3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经移民代表讨论公示并上报，资金来源为省专项资金。项目经省移民发展中心审核并由市水利局批复【莆田市水利局关于下达2023年度小型水库移民扶助项目计划的通知】（莆市水利【2023】157号），在度尾镇埔尾村建设林下停车场1个267平方米、绿化3882平方米、花池1个5.15立方米。在龙华镇金山村建设排水沟1616米，挡土墙50米宽，路面硬化 660平方米。由度尾镇、龙华镇政府为业主组织实施，埔尾村金山村协助，项目能按要求完成</w:t>
            </w:r>
          </w:p>
        </w:tc>
      </w:tr>
      <w:tr>
        <w:tblPrEx>
          <w:tblCellMar>
            <w:top w:w="0" w:type="dxa"/>
            <w:left w:w="0" w:type="dxa"/>
            <w:bottom w:w="0" w:type="dxa"/>
            <w:right w:w="0" w:type="dxa"/>
          </w:tblCellMar>
        </w:tblPrEx>
        <w:trPr>
          <w:trHeight w:val="90" w:hRule="atLeast"/>
        </w:trPr>
        <w:tc>
          <w:tcPr>
            <w:tcW w:w="2531"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3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完成在度尾镇埔尾村建设林下停车场1个267平方米、绿化3882平方米、花池1个5.15立方米。在龙华镇金山村建设排水沟1616米，挡土墙50米宽，路面硬化 660平方米。</w:t>
            </w:r>
          </w:p>
        </w:tc>
      </w:tr>
      <w:tr>
        <w:tblPrEx>
          <w:tblCellMar>
            <w:top w:w="0" w:type="dxa"/>
            <w:left w:w="0" w:type="dxa"/>
            <w:bottom w:w="0" w:type="dxa"/>
            <w:right w:w="0" w:type="dxa"/>
          </w:tblCellMar>
        </w:tblPrEx>
        <w:trPr>
          <w:trHeight w:val="90" w:hRule="atLeast"/>
        </w:trPr>
        <w:tc>
          <w:tcPr>
            <w:tcW w:w="476"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128.00</w:t>
            </w:r>
          </w:p>
        </w:tc>
        <w:tc>
          <w:tcPr>
            <w:tcW w:w="10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5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3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在度尾镇埔尾村建设林下停车场1个267平方米、绿化3882平方米、花池1个5.15立方米。在龙华镇金山村建设排水沟1616米，挡土墙50米宽，路面硬化 660平方米</w:t>
            </w:r>
          </w:p>
        </w:tc>
        <w:tc>
          <w:tcPr>
            <w:tcW w:w="507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完成在度尾镇埔尾村建设林下停车场1个267平方米、绿化3882平方米、花池1个5.15立方米。在龙华镇金山村建设排水沟1616米，挡土墙50米宽，路面硬化 660平方米。</w:t>
            </w:r>
          </w:p>
        </w:tc>
      </w:tr>
      <w:tr>
        <w:tblPrEx>
          <w:tblCellMar>
            <w:top w:w="0" w:type="dxa"/>
            <w:left w:w="0" w:type="dxa"/>
            <w:bottom w:w="0" w:type="dxa"/>
            <w:right w:w="0" w:type="dxa"/>
          </w:tblCellMar>
        </w:tblPrEx>
        <w:trPr>
          <w:trHeight w:val="90" w:hRule="atLeast"/>
        </w:trPr>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8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3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实施移民后期扶持项目建设林下停车场</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≥0平方米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实施移民后期扶持项目建设村道排水沟</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≥0米</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移民后期扶持项目验收合格率</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移民后期扶持项目及时完工率</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移民后期扶持项目移民资金总投入</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≤128万元</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移民后期扶持项目实施地受益人数</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≥0人</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项目实施地移民对后期扶持政策实施情况满意度</w:t>
            </w:r>
          </w:p>
        </w:tc>
        <w:tc>
          <w:tcPr>
            <w:tcW w:w="104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trPr>
        <w:tc>
          <w:tcPr>
            <w:tcW w:w="6713" w:type="dxa"/>
            <w:gridSpan w:val="6"/>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32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tbl>
      <w:tblPr>
        <w:tblStyle w:val="20"/>
        <w:tblW w:w="9895" w:type="dxa"/>
        <w:tblInd w:w="0" w:type="dxa"/>
        <w:shd w:val="clear" w:color="auto" w:fill="auto"/>
        <w:tblLayout w:type="fixed"/>
        <w:tblCellMar>
          <w:top w:w="0" w:type="dxa"/>
          <w:left w:w="0" w:type="dxa"/>
          <w:bottom w:w="0" w:type="dxa"/>
          <w:right w:w="0" w:type="dxa"/>
        </w:tblCellMar>
      </w:tblPr>
      <w:tblGrid>
        <w:gridCol w:w="582"/>
        <w:gridCol w:w="499"/>
        <w:gridCol w:w="1205"/>
        <w:gridCol w:w="1723"/>
        <w:gridCol w:w="930"/>
        <w:gridCol w:w="169"/>
        <w:gridCol w:w="1142"/>
        <w:gridCol w:w="870"/>
        <w:gridCol w:w="735"/>
        <w:gridCol w:w="699"/>
        <w:gridCol w:w="1341"/>
      </w:tblGrid>
      <w:tr>
        <w:tblPrEx>
          <w:tblCellMar>
            <w:top w:w="0" w:type="dxa"/>
            <w:left w:w="0" w:type="dxa"/>
            <w:bottom w:w="0" w:type="dxa"/>
            <w:right w:w="0" w:type="dxa"/>
          </w:tblCellMar>
        </w:tblPrEx>
        <w:trPr>
          <w:trHeight w:val="512" w:hRule="atLeast"/>
        </w:trPr>
        <w:tc>
          <w:tcPr>
            <w:tcW w:w="989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CellMar>
            <w:top w:w="0" w:type="dxa"/>
            <w:left w:w="0" w:type="dxa"/>
            <w:bottom w:w="0" w:type="dxa"/>
            <w:right w:w="0" w:type="dxa"/>
          </w:tblCellMar>
        </w:tblPrEx>
        <w:trPr>
          <w:trHeight w:val="347" w:hRule="atLeast"/>
        </w:trPr>
        <w:tc>
          <w:tcPr>
            <w:tcW w:w="989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CellMar>
            <w:top w:w="0" w:type="dxa"/>
            <w:left w:w="0" w:type="dxa"/>
            <w:bottom w:w="0" w:type="dxa"/>
            <w:right w:w="0" w:type="dxa"/>
          </w:tblCellMar>
        </w:tblPrEx>
        <w:trPr>
          <w:trHeight w:val="316" w:hRule="atLeast"/>
        </w:trPr>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7609"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莆财农【2024】50号关于下达2024年度小型水库移民扶助基金预算的通知</w:t>
            </w:r>
          </w:p>
        </w:tc>
      </w:tr>
      <w:tr>
        <w:tblPrEx>
          <w:tblCellMar>
            <w:top w:w="0" w:type="dxa"/>
            <w:left w:w="0" w:type="dxa"/>
            <w:bottom w:w="0" w:type="dxa"/>
            <w:right w:w="0" w:type="dxa"/>
          </w:tblCellMar>
        </w:tblPrEx>
        <w:trPr>
          <w:trHeight w:val="606" w:hRule="atLeast"/>
        </w:trPr>
        <w:tc>
          <w:tcPr>
            <w:tcW w:w="2286"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8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606" w:hRule="atLeast"/>
        </w:trPr>
        <w:tc>
          <w:tcPr>
            <w:tcW w:w="2286"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760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在枫亭镇九社村杜松脚拆除并新建蕉溪桥1座（长38.01米，宽0.3米(护栏)+5.5米（行车道+0.3米护栏）），在龙华镇东岐村新建生产道路1389米。</w:t>
            </w:r>
          </w:p>
        </w:tc>
      </w:tr>
      <w:tr>
        <w:tblPrEx>
          <w:tblCellMar>
            <w:top w:w="0" w:type="dxa"/>
            <w:left w:w="0" w:type="dxa"/>
            <w:bottom w:w="0" w:type="dxa"/>
            <w:right w:w="0" w:type="dxa"/>
          </w:tblCellMar>
        </w:tblPrEx>
        <w:trPr>
          <w:trHeight w:val="316" w:hRule="atLeast"/>
        </w:trPr>
        <w:tc>
          <w:tcPr>
            <w:tcW w:w="2286"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760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已完成新建蕉溪桥1座，生产道路1389米。</w:t>
            </w:r>
          </w:p>
        </w:tc>
      </w:tr>
      <w:tr>
        <w:tblPrEx>
          <w:tblCellMar>
            <w:top w:w="0" w:type="dxa"/>
            <w:left w:w="0" w:type="dxa"/>
            <w:bottom w:w="0" w:type="dxa"/>
            <w:right w:w="0" w:type="dxa"/>
          </w:tblCellMar>
        </w:tblPrEx>
        <w:trPr>
          <w:trHeight w:val="606" w:hRule="atLeast"/>
        </w:trPr>
        <w:tc>
          <w:tcPr>
            <w:tcW w:w="58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606" w:hRule="atLeast"/>
        </w:trPr>
        <w:tc>
          <w:tcPr>
            <w:tcW w:w="5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133.00</w:t>
            </w:r>
          </w:p>
        </w:tc>
        <w:tc>
          <w:tcPr>
            <w:tcW w:w="87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1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16"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1477"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5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在枫亭镇九社村杜松脚拆除并新建蕉溪桥1座（长38.01米，宽0.3米(护栏)+5.5米（行车道+0.3米护栏）），在龙华镇东岐村新建生产道路1389米。</w:t>
            </w:r>
          </w:p>
        </w:tc>
        <w:tc>
          <w:tcPr>
            <w:tcW w:w="47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已完成新建蕉溪桥1座，生产道路1389米。</w:t>
            </w:r>
          </w:p>
        </w:tc>
      </w:tr>
      <w:tr>
        <w:tblPrEx>
          <w:tblCellMar>
            <w:top w:w="0" w:type="dxa"/>
            <w:left w:w="0" w:type="dxa"/>
            <w:bottom w:w="0" w:type="dxa"/>
            <w:right w:w="0" w:type="dxa"/>
          </w:tblCellMar>
        </w:tblPrEx>
        <w:trPr>
          <w:trHeight w:val="897"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4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65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建设桥梁长度</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建设生产道路长度</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≥1389米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1389</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1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建设桥梁项目验收合格率</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移民后期扶持项目按时完工率</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移民后期扶持项目移民资金总投入</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06"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移民后期扶持项目实施地受益人数</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≥1894人</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1894</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97"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移民后期项目实施地移民对后期扶持政策实施情况满意度</w:t>
            </w:r>
          </w:p>
        </w:tc>
        <w:tc>
          <w:tcPr>
            <w:tcW w:w="1311"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7" w:hRule="atLeast"/>
        </w:trPr>
        <w:tc>
          <w:tcPr>
            <w:tcW w:w="7120" w:type="dxa"/>
            <w:gridSpan w:val="8"/>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tbl>
      <w:tblPr>
        <w:tblStyle w:val="20"/>
        <w:tblW w:w="9680" w:type="dxa"/>
        <w:tblInd w:w="0" w:type="dxa"/>
        <w:shd w:val="clear" w:color="auto" w:fill="auto"/>
        <w:tblLayout w:type="fixed"/>
        <w:tblCellMar>
          <w:top w:w="0" w:type="dxa"/>
          <w:left w:w="0" w:type="dxa"/>
          <w:bottom w:w="0" w:type="dxa"/>
          <w:right w:w="0" w:type="dxa"/>
        </w:tblCellMar>
      </w:tblPr>
      <w:tblGrid>
        <w:gridCol w:w="723"/>
        <w:gridCol w:w="752"/>
        <w:gridCol w:w="1250"/>
        <w:gridCol w:w="733"/>
        <w:gridCol w:w="1277"/>
        <w:gridCol w:w="1035"/>
        <w:gridCol w:w="917"/>
        <w:gridCol w:w="868"/>
        <w:gridCol w:w="765"/>
        <w:gridCol w:w="1360"/>
      </w:tblGrid>
      <w:tr>
        <w:tblPrEx>
          <w:shd w:val="clear" w:color="auto" w:fill="auto"/>
          <w:tblCellMar>
            <w:top w:w="0" w:type="dxa"/>
            <w:left w:w="0" w:type="dxa"/>
            <w:bottom w:w="0" w:type="dxa"/>
            <w:right w:w="0" w:type="dxa"/>
          </w:tblCellMar>
        </w:tblPrEx>
        <w:trPr>
          <w:trHeight w:val="521" w:hRule="atLeast"/>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tblPrEx>
          <w:tblCellMar>
            <w:top w:w="0" w:type="dxa"/>
            <w:left w:w="0" w:type="dxa"/>
            <w:bottom w:w="0" w:type="dxa"/>
            <w:right w:w="0" w:type="dxa"/>
          </w:tblCellMar>
        </w:tblPrEx>
        <w:trPr>
          <w:trHeight w:val="353" w:hRule="atLeast"/>
        </w:trPr>
        <w:tc>
          <w:tcPr>
            <w:tcW w:w="96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（2024年度）</w:t>
            </w:r>
          </w:p>
        </w:tc>
      </w:tr>
      <w:tr>
        <w:tblPrEx>
          <w:tblCellMar>
            <w:top w:w="0" w:type="dxa"/>
            <w:left w:w="0" w:type="dxa"/>
            <w:bottom w:w="0" w:type="dxa"/>
            <w:right w:w="0" w:type="dxa"/>
          </w:tblCellMar>
        </w:tblPrEx>
        <w:trPr>
          <w:trHeight w:val="616" w:hRule="atLeast"/>
        </w:trPr>
        <w:tc>
          <w:tcPr>
            <w:tcW w:w="27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专项名称</w:t>
            </w:r>
          </w:p>
        </w:tc>
        <w:tc>
          <w:tcPr>
            <w:tcW w:w="6955"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莆财农【2024】81号关于下达2024年度第二批小型水库移民扶助基金预算的通知</w:t>
            </w:r>
          </w:p>
        </w:tc>
      </w:tr>
      <w:tr>
        <w:tblPrEx>
          <w:tblCellMar>
            <w:top w:w="0" w:type="dxa"/>
            <w:left w:w="0" w:type="dxa"/>
            <w:bottom w:w="0" w:type="dxa"/>
            <w:right w:w="0" w:type="dxa"/>
          </w:tblCellMar>
        </w:tblPrEx>
        <w:trPr>
          <w:trHeight w:val="616" w:hRule="atLeast"/>
        </w:trPr>
        <w:tc>
          <w:tcPr>
            <w:tcW w:w="272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主管部门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仙游县水利局</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实施单位</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仙游县水利水电工程移民发展中心</w:t>
            </w:r>
          </w:p>
        </w:tc>
      </w:tr>
      <w:tr>
        <w:tblPrEx>
          <w:tblCellMar>
            <w:top w:w="0" w:type="dxa"/>
            <w:left w:w="0" w:type="dxa"/>
            <w:bottom w:w="0" w:type="dxa"/>
            <w:right w:w="0" w:type="dxa"/>
          </w:tblCellMar>
        </w:tblPrEx>
        <w:trPr>
          <w:trHeight w:val="616" w:hRule="atLeast"/>
        </w:trPr>
        <w:tc>
          <w:tcPr>
            <w:tcW w:w="272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项目概况</w:t>
            </w:r>
          </w:p>
        </w:tc>
        <w:tc>
          <w:tcPr>
            <w:tcW w:w="695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在枫亭镇九社村杜松脚至五星桥梁建设工程：桥梁宽0.3m（护栏）+5.5m（行车道）+0.3m=6.1m，桥梁长38.04m。</w:t>
            </w:r>
          </w:p>
        </w:tc>
      </w:tr>
      <w:tr>
        <w:tblPrEx>
          <w:tblCellMar>
            <w:top w:w="0" w:type="dxa"/>
            <w:left w:w="0" w:type="dxa"/>
            <w:bottom w:w="0" w:type="dxa"/>
            <w:right w:w="0" w:type="dxa"/>
          </w:tblCellMar>
        </w:tblPrEx>
        <w:trPr>
          <w:trHeight w:val="321" w:hRule="atLeast"/>
        </w:trPr>
        <w:tc>
          <w:tcPr>
            <w:tcW w:w="2725"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主要成效</w:t>
            </w:r>
          </w:p>
        </w:tc>
        <w:tc>
          <w:tcPr>
            <w:tcW w:w="69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极大方便移民生产和和生活</w:t>
            </w:r>
          </w:p>
        </w:tc>
      </w:tr>
      <w:tr>
        <w:tblPrEx>
          <w:tblCellMar>
            <w:top w:w="0" w:type="dxa"/>
            <w:left w:w="0" w:type="dxa"/>
            <w:bottom w:w="0" w:type="dxa"/>
            <w:right w:w="0" w:type="dxa"/>
          </w:tblCellMar>
        </w:tblPrEx>
        <w:trPr>
          <w:trHeight w:val="616" w:hRule="atLeast"/>
        </w:trPr>
        <w:tc>
          <w:tcPr>
            <w:tcW w:w="7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项目资金(万元)</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年初预算数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全年执行数</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分值</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执行率（%）</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得分</w:t>
            </w:r>
          </w:p>
        </w:tc>
      </w:tr>
      <w:tr>
        <w:tblPrEx>
          <w:tblCellMar>
            <w:top w:w="0" w:type="dxa"/>
            <w:left w:w="0" w:type="dxa"/>
            <w:bottom w:w="0" w:type="dxa"/>
            <w:right w:w="0" w:type="dxa"/>
          </w:tblCellMar>
        </w:tblPrEx>
        <w:trPr>
          <w:trHeight w:val="321" w:hRule="atLeast"/>
        </w:trPr>
        <w:tc>
          <w:tcPr>
            <w:tcW w:w="7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年度资金总额</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616" w:hRule="atLeast"/>
        </w:trPr>
        <w:tc>
          <w:tcPr>
            <w:tcW w:w="7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其中：当年财政拨款</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91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1" w:hRule="atLeast"/>
        </w:trPr>
        <w:tc>
          <w:tcPr>
            <w:tcW w:w="7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1" w:hRule="atLeast"/>
        </w:trPr>
        <w:tc>
          <w:tcPr>
            <w:tcW w:w="7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上年结转资金</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16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21"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年度总体目标</w:t>
            </w:r>
          </w:p>
        </w:tc>
        <w:tc>
          <w:tcPr>
            <w:tcW w:w="40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预期目标</w:t>
            </w:r>
          </w:p>
        </w:tc>
        <w:tc>
          <w:tcPr>
            <w:tcW w:w="49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实际完成情况</w:t>
            </w:r>
          </w:p>
        </w:tc>
      </w:tr>
      <w:tr>
        <w:tblPrEx>
          <w:tblCellMar>
            <w:top w:w="0" w:type="dxa"/>
            <w:left w:w="0" w:type="dxa"/>
            <w:bottom w:w="0" w:type="dxa"/>
            <w:right w:w="0" w:type="dxa"/>
          </w:tblCellMar>
        </w:tblPrEx>
        <w:trPr>
          <w:trHeight w:val="120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401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在枫亭镇九社村杜松脚拆除并新建蕉溪桥1座（长38.01米，宽0.3米(护栏)+5.5米（行车道+0.3米护栏））。              </w:t>
            </w:r>
          </w:p>
        </w:tc>
        <w:tc>
          <w:tcPr>
            <w:tcW w:w="49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新建蕉溪桥1座已完成</w:t>
            </w:r>
          </w:p>
        </w:tc>
      </w:tr>
      <w:tr>
        <w:tblPrEx>
          <w:tblCellMar>
            <w:top w:w="0" w:type="dxa"/>
            <w:left w:w="0" w:type="dxa"/>
            <w:bottom w:w="0" w:type="dxa"/>
            <w:right w:w="0" w:type="dxa"/>
          </w:tblCellMar>
        </w:tblPrEx>
        <w:trPr>
          <w:trHeight w:val="61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指标</w:t>
            </w:r>
          </w:p>
        </w:tc>
        <w:tc>
          <w:tcPr>
            <w:tcW w:w="7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年度指标值</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实际完成值</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自评得分</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偏差原因分析及改进措施</w:t>
            </w:r>
          </w:p>
        </w:tc>
      </w:tr>
      <w:tr>
        <w:tblPrEx>
          <w:tblCellMar>
            <w:top w:w="0" w:type="dxa"/>
            <w:left w:w="0" w:type="dxa"/>
            <w:bottom w:w="0" w:type="dxa"/>
            <w:right w:w="0" w:type="dxa"/>
          </w:tblCellMar>
        </w:tblPrEx>
        <w:trPr>
          <w:trHeight w:val="32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建设桥梁长度</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≥38.01米</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38.01</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建设桥梁项目验收合格率</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移民后期扶持项目按时完工率</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移民后期扶持项目移民资金总投入</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≤15万元</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61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移民后期扶持项目实施地受益人数</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≥1894人</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18940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1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移民后期项目实施地移民对后期扶持政策实施情况满意度</w:t>
            </w:r>
          </w:p>
        </w:tc>
        <w:tc>
          <w:tcPr>
            <w:tcW w:w="103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8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32" w:hRule="atLeast"/>
        </w:trPr>
        <w:tc>
          <w:tcPr>
            <w:tcW w:w="6687" w:type="dxa"/>
            <w:gridSpan w:val="7"/>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总分值、评价总分 (S)</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r>
    </w:tbl>
    <w:p>
      <w:pPr>
        <w:keepNext w:val="0"/>
        <w:keepLines w:val="0"/>
        <w:pageBreakBefore w:val="0"/>
        <w:widowControl w:val="0"/>
        <w:tabs>
          <w:tab w:val="left" w:pos="8415"/>
        </w:tabs>
        <w:kinsoku/>
        <w:wordWrap/>
        <w:overflowPunct/>
        <w:topLinePunct w:val="0"/>
        <w:autoSpaceDE/>
        <w:autoSpaceDN/>
        <w:bidi w:val="0"/>
        <w:adjustRightInd/>
        <w:snapToGrid/>
        <w:textAlignment w:val="auto"/>
        <w:rPr>
          <w:rFonts w:hint="eastAsia"/>
          <w:sz w:val="21"/>
          <w:szCs w:val="21"/>
          <w:lang w:val="en-US" w:eastAsia="zh-CN"/>
        </w:rPr>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1A6EC"/>
    <w:multiLevelType w:val="singleLevel"/>
    <w:tmpl w:val="A571A6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5239B"/>
    <w:rsid w:val="0355784E"/>
    <w:rsid w:val="03E1589E"/>
    <w:rsid w:val="047C1BFC"/>
    <w:rsid w:val="090548B6"/>
    <w:rsid w:val="09D55762"/>
    <w:rsid w:val="0B8E4341"/>
    <w:rsid w:val="0BC501E0"/>
    <w:rsid w:val="0DC31C8B"/>
    <w:rsid w:val="0DDE390B"/>
    <w:rsid w:val="0EE35762"/>
    <w:rsid w:val="12074C50"/>
    <w:rsid w:val="12E95BC4"/>
    <w:rsid w:val="140C5235"/>
    <w:rsid w:val="17131BB3"/>
    <w:rsid w:val="1DE24657"/>
    <w:rsid w:val="1DF51D21"/>
    <w:rsid w:val="1FFB2EBD"/>
    <w:rsid w:val="20C141B1"/>
    <w:rsid w:val="22E00CE5"/>
    <w:rsid w:val="230B65C5"/>
    <w:rsid w:val="23E925BB"/>
    <w:rsid w:val="24C63C43"/>
    <w:rsid w:val="26B03D64"/>
    <w:rsid w:val="26B864F1"/>
    <w:rsid w:val="29CB1C28"/>
    <w:rsid w:val="29DE747F"/>
    <w:rsid w:val="2BFA28C1"/>
    <w:rsid w:val="2E0D07D9"/>
    <w:rsid w:val="32E20512"/>
    <w:rsid w:val="37CD3CE3"/>
    <w:rsid w:val="37EE48D6"/>
    <w:rsid w:val="382C3C38"/>
    <w:rsid w:val="392A24E8"/>
    <w:rsid w:val="3A286FCA"/>
    <w:rsid w:val="3B636A6D"/>
    <w:rsid w:val="402737F4"/>
    <w:rsid w:val="404D2D60"/>
    <w:rsid w:val="465444EA"/>
    <w:rsid w:val="467060A9"/>
    <w:rsid w:val="46D63F65"/>
    <w:rsid w:val="49170DBF"/>
    <w:rsid w:val="49C10101"/>
    <w:rsid w:val="4C774975"/>
    <w:rsid w:val="4D6772B0"/>
    <w:rsid w:val="4D7A287C"/>
    <w:rsid w:val="4E1C74D3"/>
    <w:rsid w:val="4E7B1F24"/>
    <w:rsid w:val="506073C1"/>
    <w:rsid w:val="513938A2"/>
    <w:rsid w:val="550863E3"/>
    <w:rsid w:val="56145092"/>
    <w:rsid w:val="56417AE4"/>
    <w:rsid w:val="584D4CAE"/>
    <w:rsid w:val="5CFD1221"/>
    <w:rsid w:val="607773F3"/>
    <w:rsid w:val="60AE29E2"/>
    <w:rsid w:val="61E36F1F"/>
    <w:rsid w:val="63C3409D"/>
    <w:rsid w:val="6ADA4868"/>
    <w:rsid w:val="6F011025"/>
    <w:rsid w:val="6F632CD4"/>
    <w:rsid w:val="71AC09E5"/>
    <w:rsid w:val="72482200"/>
    <w:rsid w:val="72B43DBB"/>
    <w:rsid w:val="73022753"/>
    <w:rsid w:val="741E2CCC"/>
    <w:rsid w:val="74530E1E"/>
    <w:rsid w:val="75F96DE5"/>
    <w:rsid w:val="78C259AE"/>
    <w:rsid w:val="79CB434F"/>
    <w:rsid w:val="7A6938E9"/>
    <w:rsid w:val="7ACF4EA0"/>
    <w:rsid w:val="7BE73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qFormat/>
    <w:uiPriority w:val="0"/>
    <w:pPr>
      <w:ind w:left="1680"/>
      <w:jc w:val="left"/>
    </w:pPr>
    <w:rPr>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6"/>
    <w:qFormat/>
    <w:uiPriority w:val="0"/>
    <w:rPr>
      <w:rFonts w:ascii="Cambria" w:hAnsi="Cambria" w:eastAsia="仿宋"/>
      <w:bCs/>
      <w:kern w:val="2"/>
      <w:sz w:val="32"/>
      <w:szCs w:val="28"/>
    </w:rPr>
  </w:style>
  <w:style w:type="character" w:customStyle="1" w:styleId="25">
    <w:name w:val="无间隔 字符"/>
    <w:link w:val="4"/>
    <w:qFormat/>
    <w:locked/>
    <w:uiPriority w:val="0"/>
    <w:rPr>
      <w:rFonts w:eastAsia="仿宋_GB2312"/>
      <w:sz w:val="30"/>
      <w:szCs w:val="22"/>
      <w:lang w:bidi="ar-SA"/>
    </w:rPr>
  </w:style>
  <w:style w:type="character" w:customStyle="1" w:styleId="26">
    <w:name w:val="页脚 字符"/>
    <w:basedOn w:val="21"/>
    <w:link w:val="12"/>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1"/>
    <w:link w:val="5"/>
    <w:qFormat/>
    <w:uiPriority w:val="0"/>
    <w:rPr>
      <w:rFonts w:eastAsia="仿宋"/>
      <w:bCs/>
      <w:kern w:val="2"/>
      <w:sz w:val="32"/>
      <w:szCs w:val="32"/>
    </w:rPr>
  </w:style>
  <w:style w:type="paragraph" w:customStyle="1" w:styleId="29">
    <w:name w:val="p"/>
    <w:basedOn w:val="1"/>
    <w:qFormat/>
    <w:uiPriority w:val="0"/>
  </w:style>
  <w:style w:type="paragraph" w:customStyle="1" w:styleId="30">
    <w:name w:val="MsoNormal"/>
    <w:basedOn w:val="1"/>
    <w:qFormat/>
    <w:uiPriority w:val="0"/>
  </w:style>
  <w:style w:type="character" w:customStyle="1" w:styleId="31">
    <w:name w:val="15"/>
    <w:basedOn w:val="21"/>
    <w:qFormat/>
    <w:uiPriority w:val="0"/>
  </w:style>
  <w:style w:type="table" w:customStyle="1" w:styleId="32">
    <w:name w:val="MsoNormalTable mce-item-tabl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20</Words>
  <Characters>35</Characters>
  <Lines>1</Lines>
  <Paragraphs>1</Paragraphs>
  <TotalTime>188</TotalTime>
  <ScaleCrop>false</ScaleCrop>
  <LinksUpToDate>false</LinksUpToDate>
  <CharactersWithSpaces>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c</cp:lastModifiedBy>
  <cp:lastPrinted>2021-04-16T00:45:00Z</cp:lastPrinted>
  <dcterms:modified xsi:type="dcterms:W3CDTF">2025-10-21T02:20:48Z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2052-11.1.0.10228</vt:lpwstr>
  </property>
  <property fmtid="{D5CDD505-2E9C-101B-9397-08002B2CF9AE}" pid="4" name="KSOTemplateDocerSaveRecord">
    <vt:lpwstr>eyJoZGlkIjoiMGU0NWVkNDhlOTkyOTEzYmI4NjBkNjJlZWJjYTAyZDQiLCJ1c2VySWQiOiI0MjEyNzUxNjYifQ==</vt:lpwstr>
  </property>
</Properties>
</file>