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CB5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兰溪文化中心二楼3号馆招租实施方案</w:t>
      </w:r>
    </w:p>
    <w:p w14:paraId="19D9D7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200D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为进一步有效盘活国有固定资产，提升集团造血功能，增加集团收入，并长期习惯过好紧日子，仙游县水务投资集团有限公司拟对位于木兰溪与瑞溪汇合口处兰溪文化中心二楼建筑面积450平方米房屋进行公开招租，参照《仙游县财政局文件关于印发仙游县行政事业单位国有资产出租出借管理规定的通知》（仙财规﹝2024﹞1号）有关规定，具体招租方案如下：</w:t>
      </w:r>
    </w:p>
    <w:p w14:paraId="219268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sz w:val="32"/>
          <w:szCs w:val="32"/>
          <w:highlight w:val="none"/>
          <w:lang w:val="en-US" w:eastAsia="zh-CN"/>
        </w:rPr>
      </w:pPr>
      <w:r>
        <w:rPr>
          <w:rFonts w:hint="eastAsia" w:cstheme="minorBidi"/>
          <w:b/>
          <w:bCs/>
          <w:kern w:val="2"/>
          <w:sz w:val="32"/>
          <w:szCs w:val="32"/>
          <w:highlight w:val="none"/>
          <w:lang w:val="en-US" w:eastAsia="zh-CN" w:bidi="ar-SA"/>
        </w:rPr>
        <w:t>基本情况</w:t>
      </w:r>
    </w:p>
    <w:p w14:paraId="7EFAE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兰溪文化中心位于木兰溪与瑞溪汇合口处，</w:t>
      </w:r>
      <w:r>
        <w:rPr>
          <w:rFonts w:hint="default" w:ascii="仿宋GB2312" w:hAnsi="宋体" w:eastAsia="仿宋GB2312"/>
          <w:sz w:val="32"/>
          <w:szCs w:val="32"/>
          <w:highlight w:val="none"/>
          <w:lang w:val="en-US" w:eastAsia="zh-CN"/>
        </w:rPr>
        <w:t>建筑面积1766㎡，建筑结构根据木兰花的3朵花瓣设计，绿化率73%，项目建设投资1550万元，于2019年3月完工</w:t>
      </w:r>
      <w:r>
        <w:rPr>
          <w:rFonts w:hint="eastAsia" w:ascii="仿宋GB2312" w:hAnsi="宋体" w:eastAsia="仿宋GB2312"/>
          <w:sz w:val="32"/>
          <w:szCs w:val="32"/>
          <w:highlight w:val="none"/>
          <w:lang w:val="en-US" w:eastAsia="zh-CN"/>
        </w:rPr>
        <w:t>，2020年1月正式投入运营</w:t>
      </w:r>
      <w:r>
        <w:rPr>
          <w:rFonts w:hint="default" w:ascii="仿宋GB2312" w:hAnsi="宋体" w:eastAsia="仿宋GB2312"/>
          <w:sz w:val="32"/>
          <w:szCs w:val="32"/>
          <w:highlight w:val="none"/>
          <w:lang w:val="en-US" w:eastAsia="zh-CN"/>
        </w:rPr>
        <w:t>。室内装修已配套中央空调、氛围灯等一系列基础设施，精装修完整。室外设有音乐喷泉、人文广场、氛围灯等设施，与周边的水系交相辉映，已然成为仙游市民休闲娱乐的中心场所。</w:t>
      </w:r>
    </w:p>
    <w:p w14:paraId="77E6E4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sz w:val="32"/>
          <w:szCs w:val="32"/>
          <w:highlight w:val="none"/>
          <w:lang w:val="en-US" w:eastAsia="zh-CN"/>
        </w:rPr>
      </w:pPr>
      <w:r>
        <w:rPr>
          <w:rFonts w:hint="eastAsia" w:cstheme="minorBidi"/>
          <w:b/>
          <w:bCs/>
          <w:kern w:val="2"/>
          <w:sz w:val="32"/>
          <w:szCs w:val="32"/>
          <w:highlight w:val="none"/>
          <w:lang w:val="en-US" w:eastAsia="zh-CN" w:bidi="ar-SA"/>
        </w:rPr>
        <w:t>二</w:t>
      </w:r>
      <w:r>
        <w:rPr>
          <w:rFonts w:hint="eastAsia"/>
          <w:b/>
          <w:bCs/>
          <w:sz w:val="32"/>
          <w:szCs w:val="32"/>
          <w:highlight w:val="none"/>
          <w:lang w:val="en-US" w:eastAsia="zh-CN"/>
        </w:rPr>
        <w:t>、招租范围</w:t>
      </w:r>
    </w:p>
    <w:p w14:paraId="167E3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兰溪文化中心二楼3号馆（限馆内使用），馆内面积约450㎡。</w:t>
      </w:r>
    </w:p>
    <w:p w14:paraId="12259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sz w:val="32"/>
          <w:szCs w:val="32"/>
          <w:highlight w:val="none"/>
          <w:lang w:val="en-US" w:eastAsia="zh-CN"/>
        </w:rPr>
      </w:pPr>
      <w:r>
        <w:rPr>
          <w:rFonts w:hint="eastAsia"/>
          <w:b/>
          <w:bCs/>
          <w:sz w:val="32"/>
          <w:szCs w:val="32"/>
          <w:highlight w:val="none"/>
          <w:lang w:val="en-US" w:eastAsia="zh-CN"/>
        </w:rPr>
        <w:t>三、承租人资格及条件</w:t>
      </w:r>
    </w:p>
    <w:p w14:paraId="2A96D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3.1 未纳入失信名单的企业或个人。</w:t>
      </w:r>
    </w:p>
    <w:p w14:paraId="6581D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3.2 仅限于招租文化教育、培训等相关运营。</w:t>
      </w:r>
    </w:p>
    <w:p w14:paraId="254C2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3.3 在交付竞租保证金后，按指定的时间和场合参加竞租。二楼3号馆保证金为人民币</w:t>
      </w:r>
      <w:r>
        <w:rPr>
          <w:rFonts w:hint="eastAsia" w:ascii="仿宋GB2312" w:hAnsi="宋体" w:eastAsia="仿宋GB2312"/>
          <w:sz w:val="32"/>
          <w:szCs w:val="32"/>
          <w:highlight w:val="none"/>
          <w:u w:val="single"/>
          <w:lang w:val="en-US" w:eastAsia="zh-CN"/>
        </w:rPr>
        <w:t>壹万贰仟叁佰元</w:t>
      </w:r>
      <w:r>
        <w:rPr>
          <w:rFonts w:hint="eastAsia" w:ascii="仿宋GB2312" w:hAnsi="宋体" w:eastAsia="仿宋GB2312"/>
          <w:sz w:val="32"/>
          <w:szCs w:val="32"/>
          <w:highlight w:val="none"/>
          <w:lang w:val="en-US" w:eastAsia="zh-CN"/>
        </w:rPr>
        <w:t>（¥12300元）。</w:t>
      </w:r>
    </w:p>
    <w:p w14:paraId="4A483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四、租赁流程</w:t>
      </w:r>
    </w:p>
    <w:p w14:paraId="5934F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按照公开、公平、公正的原则向社会公开招租，报价高于或等于挂牌价的最高有效报价的竞价人为标的物承租人。委托专业中介机构负责本次公开招租工作，佣金按5000元包干，由承租人承担。</w:t>
      </w:r>
    </w:p>
    <w:p w14:paraId="6BC98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4.1 发布公告。在仙游县水利局官网上发布招租公告,公告时间自发布之日起10个工作日。公告期间，承租人可前往现场进行考察。</w:t>
      </w:r>
    </w:p>
    <w:p w14:paraId="6BCC8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4.2 资格预审。报名时承租人须提供企业（个人）征信证明、营业执照、承诺函（格式详见附件）、场馆各区域详细运管方案等。</w:t>
      </w:r>
    </w:p>
    <w:p w14:paraId="6E57D0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4.3 公开竞价。委托第三方进行公开竞价、确定承租人。对于公开招租未成交（流拍）的，再次公开招租底价不得低于评估价的90%，再次未成交（流拍）的，第三次公开招租底价不得低于评估价的80%。三次均未成交（流拍）的，如继续公开招租底价低于评估价80%的，应重新评估，并按规定再次进行公开招租。</w:t>
      </w:r>
    </w:p>
    <w:p w14:paraId="4E88B2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default" w:ascii="仿宋GB2312" w:hAnsi="宋体" w:eastAsia="仿宋GB2312" w:cstheme="minorBidi"/>
          <w:kern w:val="2"/>
          <w:sz w:val="32"/>
          <w:szCs w:val="32"/>
          <w:highlight w:val="none"/>
          <w:lang w:val="en-US" w:eastAsia="zh-CN" w:bidi="ar-SA"/>
        </w:rPr>
      </w:pPr>
      <w:r>
        <w:rPr>
          <w:rFonts w:hint="eastAsia" w:ascii="仿宋GB2312" w:hAnsi="宋体" w:eastAsia="仿宋GB2312"/>
          <w:sz w:val="32"/>
          <w:szCs w:val="32"/>
          <w:highlight w:val="none"/>
          <w:lang w:val="en-US" w:eastAsia="zh-CN"/>
        </w:rPr>
        <w:t>4.4公示。</w:t>
      </w:r>
      <w:r>
        <w:rPr>
          <w:rFonts w:hint="eastAsia" w:ascii="仿宋GB2312" w:hAnsi="宋体" w:eastAsia="仿宋GB2312" w:cstheme="minorBidi"/>
          <w:kern w:val="2"/>
          <w:sz w:val="32"/>
          <w:szCs w:val="32"/>
          <w:highlight w:val="none"/>
          <w:lang w:val="en-US" w:eastAsia="zh-CN" w:bidi="ar-SA"/>
        </w:rPr>
        <w:t>招租结果在</w:t>
      </w:r>
      <w:r>
        <w:rPr>
          <w:rFonts w:hint="default" w:ascii="仿宋GB2312" w:hAnsi="宋体" w:eastAsia="仿宋GB2312" w:cstheme="minorBidi"/>
          <w:kern w:val="2"/>
          <w:sz w:val="32"/>
          <w:szCs w:val="32"/>
          <w:highlight w:val="none"/>
          <w:lang w:val="en-US" w:eastAsia="zh-CN" w:bidi="ar-SA"/>
        </w:rPr>
        <w:t>仙游县水利局</w:t>
      </w:r>
      <w:r>
        <w:rPr>
          <w:rFonts w:hint="eastAsia" w:ascii="仿宋GB2312" w:hAnsi="宋体" w:eastAsia="仿宋GB2312" w:cstheme="minorBidi"/>
          <w:kern w:val="2"/>
          <w:sz w:val="32"/>
          <w:szCs w:val="32"/>
          <w:highlight w:val="none"/>
          <w:lang w:val="en-US" w:eastAsia="zh-CN" w:bidi="ar-SA"/>
        </w:rPr>
        <w:t>官网上进行公示，公示期为7天。</w:t>
      </w:r>
    </w:p>
    <w:p w14:paraId="3D71E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4.5 合同签订。确定承租人后，与承租人签订出租合同，出租合同内容包括：标的名称、租赁期限、出租使用范围、租金及其他费用交付时限、安全生产经营、资产维护及租赁双方的权利、义务与违约责任等条款。</w:t>
      </w:r>
    </w:p>
    <w:p w14:paraId="32FB72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b/>
          <w:bCs/>
          <w:sz w:val="32"/>
          <w:szCs w:val="32"/>
          <w:highlight w:val="none"/>
          <w:lang w:val="en-US" w:eastAsia="zh-CN"/>
        </w:rPr>
      </w:pPr>
      <w:r>
        <w:rPr>
          <w:rFonts w:hint="eastAsia"/>
          <w:b/>
          <w:bCs/>
          <w:sz w:val="32"/>
          <w:szCs w:val="32"/>
          <w:highlight w:val="none"/>
          <w:lang w:val="en-US" w:eastAsia="zh-CN"/>
        </w:rPr>
        <w:t>五、租赁要求</w:t>
      </w:r>
    </w:p>
    <w:p w14:paraId="63308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5.1 租赁租金：仙游县水务投资集团有限公司根据具备资质的第三方评估机构</w:t>
      </w:r>
      <w:r>
        <w:rPr>
          <w:rFonts w:hint="eastAsia" w:ascii="仿宋GB2312" w:hAnsi="宋体" w:eastAsia="仿宋GB2312"/>
          <w:sz w:val="32"/>
          <w:szCs w:val="32"/>
          <w:highlight w:val="none"/>
          <w:lang w:val="zh-CN" w:eastAsia="zh-CN"/>
        </w:rPr>
        <w:t>实地评估</w:t>
      </w:r>
      <w:r>
        <w:rPr>
          <w:rFonts w:hint="eastAsia" w:ascii="仿宋GB2312" w:hAnsi="宋体" w:eastAsia="仿宋GB2312"/>
          <w:sz w:val="32"/>
          <w:szCs w:val="32"/>
          <w:highlight w:val="none"/>
          <w:lang w:val="en-US" w:eastAsia="zh-CN"/>
        </w:rPr>
        <w:t>，依据《房地产租赁估价报告》</w:t>
      </w:r>
      <w:r>
        <w:rPr>
          <w:rFonts w:hint="eastAsia" w:ascii="仿宋GB2312" w:hAnsi="宋体" w:eastAsia="仿宋GB2312"/>
          <w:sz w:val="32"/>
          <w:szCs w:val="32"/>
          <w:highlight w:val="none"/>
          <w:lang w:val="zh-CN" w:eastAsia="zh-CN"/>
        </w:rPr>
        <w:t>结果（下表）作为起拍价。</w:t>
      </w:r>
      <w:r>
        <w:rPr>
          <w:rFonts w:hint="eastAsia" w:ascii="仿宋GB2312" w:hAnsi="宋体" w:eastAsia="仿宋GB2312"/>
          <w:sz w:val="32"/>
          <w:szCs w:val="32"/>
          <w:highlight w:val="none"/>
          <w:lang w:val="en-US" w:eastAsia="zh-CN"/>
        </w:rPr>
        <w:t>报价高于或等于起拍价的最高有效报价为租金。</w:t>
      </w:r>
    </w:p>
    <w:p w14:paraId="010D30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HAnsi" w:hAnsiTheme="minorHAnsi" w:eastAsiaTheme="minorEastAsia" w:cstheme="minorBidi"/>
          <w:sz w:val="32"/>
          <w:szCs w:val="32"/>
          <w:highlight w:val="none"/>
          <w:u w:val="none"/>
          <w:shd w:val="clear"/>
          <w:lang w:eastAsia="zh-CN"/>
        </w:rPr>
      </w:pPr>
      <w:r>
        <w:rPr>
          <w:rFonts w:hint="eastAsia" w:ascii="仿宋GB2312" w:hAnsi="宋体" w:eastAsia="仿宋GB2312"/>
          <w:sz w:val="32"/>
          <w:szCs w:val="32"/>
          <w:highlight w:val="none"/>
          <w:lang w:eastAsia="zh-CN"/>
        </w:rPr>
        <w:t>房地产估价结果汇总表</w:t>
      </w:r>
    </w:p>
    <w:tbl>
      <w:tblPr>
        <w:tblStyle w:val="11"/>
        <w:tblpPr w:leftFromText="180" w:rightFromText="180" w:vertAnchor="text" w:horzAnchor="page" w:tblpXSpec="center" w:tblpY="301"/>
        <w:tblOverlap w:val="never"/>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88"/>
        <w:gridCol w:w="1485"/>
        <w:gridCol w:w="1457"/>
        <w:gridCol w:w="1200"/>
        <w:gridCol w:w="1203"/>
      </w:tblGrid>
      <w:tr w14:paraId="339DEC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1793" w:type="pct"/>
            <w:tcBorders>
              <w:tl2br w:val="nil"/>
              <w:tr2bl w:val="nil"/>
            </w:tcBorders>
            <w:tcMar>
              <w:top w:w="15" w:type="dxa"/>
              <w:left w:w="15" w:type="dxa"/>
              <w:bottom w:w="0" w:type="dxa"/>
              <w:right w:w="15" w:type="dxa"/>
            </w:tcMar>
            <w:vAlign w:val="center"/>
          </w:tcPr>
          <w:p w14:paraId="16C0222E">
            <w:pPr>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项目名称</w:t>
            </w:r>
          </w:p>
        </w:tc>
        <w:tc>
          <w:tcPr>
            <w:tcW w:w="891" w:type="pct"/>
            <w:tcBorders>
              <w:tl2br w:val="nil"/>
              <w:tr2bl w:val="nil"/>
            </w:tcBorders>
            <w:tcMar>
              <w:top w:w="15" w:type="dxa"/>
              <w:left w:w="15" w:type="dxa"/>
              <w:bottom w:w="0" w:type="dxa"/>
              <w:right w:w="15" w:type="dxa"/>
            </w:tcMar>
            <w:vAlign w:val="center"/>
          </w:tcPr>
          <w:p w14:paraId="48411F7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建筑面积</w:t>
            </w:r>
          </w:p>
          <w:p w14:paraId="1D31DAC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w:t>
            </w:r>
          </w:p>
        </w:tc>
        <w:tc>
          <w:tcPr>
            <w:tcW w:w="874" w:type="pct"/>
            <w:tcBorders>
              <w:tl2br w:val="nil"/>
              <w:tr2bl w:val="nil"/>
            </w:tcBorders>
            <w:vAlign w:val="center"/>
          </w:tcPr>
          <w:p w14:paraId="2AD5C489">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月租金单价</w:t>
            </w:r>
          </w:p>
          <w:p w14:paraId="0009D42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lang w:eastAsia="zh-CN"/>
              </w:rPr>
              <w:t>（</w:t>
            </w:r>
            <w:r>
              <w:rPr>
                <w:rFonts w:hint="eastAsia" w:ascii="仿宋GB2312" w:hAnsi="宋体" w:eastAsia="仿宋GB2312"/>
                <w:sz w:val="22"/>
                <w:szCs w:val="22"/>
                <w:highlight w:val="none"/>
              </w:rPr>
              <w:t>元/㎡</w:t>
            </w:r>
            <w:r>
              <w:rPr>
                <w:rFonts w:hint="eastAsia" w:ascii="仿宋GB2312" w:hAnsi="宋体" w:eastAsia="仿宋GB2312"/>
                <w:sz w:val="22"/>
                <w:szCs w:val="22"/>
                <w:highlight w:val="none"/>
                <w:lang w:val="en-US" w:eastAsia="zh-CN"/>
              </w:rPr>
              <w:t>.</w:t>
            </w:r>
            <w:r>
              <w:rPr>
                <w:rFonts w:hint="eastAsia" w:ascii="仿宋GB2312" w:hAnsi="宋体" w:eastAsia="仿宋GB2312"/>
                <w:sz w:val="22"/>
                <w:szCs w:val="22"/>
                <w:highlight w:val="none"/>
              </w:rPr>
              <w:t>月</w:t>
            </w:r>
            <w:r>
              <w:rPr>
                <w:rFonts w:hint="eastAsia" w:ascii="仿宋GB2312" w:hAnsi="宋体" w:eastAsia="仿宋GB2312"/>
                <w:sz w:val="22"/>
                <w:szCs w:val="22"/>
                <w:highlight w:val="none"/>
                <w:lang w:eastAsia="zh-CN"/>
              </w:rPr>
              <w:t>）</w:t>
            </w:r>
          </w:p>
        </w:tc>
        <w:tc>
          <w:tcPr>
            <w:tcW w:w="720" w:type="pct"/>
            <w:tcBorders>
              <w:tl2br w:val="nil"/>
              <w:tr2bl w:val="nil"/>
            </w:tcBorders>
            <w:vAlign w:val="center"/>
          </w:tcPr>
          <w:p w14:paraId="16CD0B4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月租金总价</w:t>
            </w:r>
          </w:p>
          <w:p w14:paraId="01F29272">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（元）</w:t>
            </w:r>
          </w:p>
        </w:tc>
        <w:tc>
          <w:tcPr>
            <w:tcW w:w="721" w:type="pct"/>
            <w:tcBorders>
              <w:tl2br w:val="nil"/>
              <w:tr2bl w:val="nil"/>
            </w:tcBorders>
            <w:vAlign w:val="center"/>
          </w:tcPr>
          <w:p w14:paraId="1578A7D4">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年租金总价</w:t>
            </w:r>
          </w:p>
          <w:p w14:paraId="6A97E37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（元）</w:t>
            </w:r>
          </w:p>
        </w:tc>
      </w:tr>
      <w:tr w14:paraId="629F7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793" w:type="pct"/>
            <w:tcBorders>
              <w:tl2br w:val="nil"/>
              <w:tr2bl w:val="nil"/>
            </w:tcBorders>
            <w:noWrap/>
            <w:tcMar>
              <w:top w:w="15" w:type="dxa"/>
              <w:left w:w="15" w:type="dxa"/>
              <w:bottom w:w="0" w:type="dxa"/>
              <w:right w:w="15" w:type="dxa"/>
            </w:tcMar>
            <w:vAlign w:val="center"/>
          </w:tcPr>
          <w:p w14:paraId="53AB7FA9">
            <w:pPr>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兰溪文化中心二楼（3号馆）</w:t>
            </w:r>
          </w:p>
        </w:tc>
        <w:tc>
          <w:tcPr>
            <w:tcW w:w="891" w:type="pct"/>
            <w:tcBorders>
              <w:tl2br w:val="nil"/>
              <w:tr2bl w:val="nil"/>
            </w:tcBorders>
            <w:noWrap/>
            <w:tcMar>
              <w:top w:w="15" w:type="dxa"/>
              <w:left w:w="15" w:type="dxa"/>
              <w:bottom w:w="0" w:type="dxa"/>
              <w:right w:w="15" w:type="dxa"/>
            </w:tcMar>
            <w:vAlign w:val="center"/>
          </w:tcPr>
          <w:p w14:paraId="27034AB7">
            <w:pPr>
              <w:keepNext w:val="0"/>
              <w:keepLines w:val="0"/>
              <w:pageBreakBefore w:val="0"/>
              <w:kinsoku/>
              <w:wordWrap/>
              <w:overflowPunct/>
              <w:topLinePunct w:val="0"/>
              <w:autoSpaceDE/>
              <w:autoSpaceDN/>
              <w:bidi w:val="0"/>
              <w:adjustRightInd/>
              <w:snapToGrid w:val="0"/>
              <w:spacing w:line="400" w:lineRule="exact"/>
              <w:jc w:val="center"/>
              <w:textAlignment w:val="auto"/>
              <w:rPr>
                <w:rFonts w:ascii="仿宋GB2312" w:hAnsi="宋体" w:eastAsia="仿宋GB2312"/>
                <w:sz w:val="22"/>
                <w:szCs w:val="22"/>
                <w:highlight w:val="none"/>
              </w:rPr>
            </w:pPr>
            <w:r>
              <w:rPr>
                <w:rFonts w:hint="eastAsia" w:ascii="仿宋GB2312" w:hAnsi="宋体" w:eastAsia="仿宋GB2312"/>
                <w:sz w:val="22"/>
                <w:szCs w:val="22"/>
                <w:highlight w:val="none"/>
              </w:rPr>
              <w:t>450</w:t>
            </w:r>
          </w:p>
        </w:tc>
        <w:tc>
          <w:tcPr>
            <w:tcW w:w="874" w:type="pct"/>
            <w:tcBorders>
              <w:tl2br w:val="nil"/>
              <w:tr2bl w:val="nil"/>
            </w:tcBorders>
            <w:vAlign w:val="center"/>
          </w:tcPr>
          <w:p w14:paraId="20A6E995">
            <w:pPr>
              <w:keepNext w:val="0"/>
              <w:keepLines w:val="0"/>
              <w:pageBreakBefore w:val="0"/>
              <w:kinsoku/>
              <w:wordWrap/>
              <w:overflowPunct/>
              <w:topLinePunct w:val="0"/>
              <w:autoSpaceDE/>
              <w:autoSpaceDN/>
              <w:bidi w:val="0"/>
              <w:adjustRightInd/>
              <w:snapToGrid w:val="0"/>
              <w:spacing w:line="400" w:lineRule="exact"/>
              <w:jc w:val="center"/>
              <w:textAlignment w:val="auto"/>
              <w:rPr>
                <w:sz w:val="22"/>
                <w:szCs w:val="22"/>
                <w:highlight w:val="none"/>
              </w:rPr>
            </w:pPr>
            <w:r>
              <w:rPr>
                <w:rFonts w:ascii="仿宋GB2312" w:eastAsia="仿宋GB2312" w:hAnsiTheme="minorEastAsia"/>
                <w:sz w:val="22"/>
                <w:szCs w:val="22"/>
                <w:highlight w:val="none"/>
              </w:rPr>
              <w:t>9.</w:t>
            </w:r>
            <w:r>
              <w:rPr>
                <w:rFonts w:hint="eastAsia" w:ascii="仿宋GB2312" w:eastAsia="仿宋GB2312" w:hAnsiTheme="minorEastAsia"/>
                <w:sz w:val="22"/>
                <w:szCs w:val="22"/>
                <w:highlight w:val="none"/>
              </w:rPr>
              <w:t>2</w:t>
            </w:r>
          </w:p>
        </w:tc>
        <w:tc>
          <w:tcPr>
            <w:tcW w:w="720" w:type="pct"/>
            <w:tcBorders>
              <w:tl2br w:val="nil"/>
              <w:tr2bl w:val="nil"/>
            </w:tcBorders>
            <w:vAlign w:val="center"/>
          </w:tcPr>
          <w:p w14:paraId="136FDE05">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eastAsia="仿宋GB2312"/>
                <w:sz w:val="22"/>
                <w:szCs w:val="22"/>
                <w:highlight w:val="none"/>
                <w:lang w:val="en-US" w:eastAsia="zh-CN"/>
              </w:rPr>
            </w:pPr>
            <w:r>
              <w:rPr>
                <w:rFonts w:ascii="仿宋GB2312" w:hAnsi="宋体" w:eastAsia="仿宋GB2312"/>
                <w:sz w:val="22"/>
                <w:szCs w:val="22"/>
                <w:highlight w:val="none"/>
              </w:rPr>
              <w:t>4</w:t>
            </w:r>
            <w:r>
              <w:rPr>
                <w:rFonts w:hint="eastAsia" w:ascii="仿宋GB2312" w:hAnsi="宋体" w:eastAsia="仿宋GB2312"/>
                <w:sz w:val="22"/>
                <w:szCs w:val="22"/>
                <w:highlight w:val="none"/>
                <w:lang w:val="en-US" w:eastAsia="zh-CN"/>
              </w:rPr>
              <w:t>100</w:t>
            </w:r>
          </w:p>
        </w:tc>
        <w:tc>
          <w:tcPr>
            <w:tcW w:w="721" w:type="pct"/>
            <w:tcBorders>
              <w:tl2br w:val="nil"/>
              <w:tr2bl w:val="nil"/>
            </w:tcBorders>
            <w:vAlign w:val="center"/>
          </w:tcPr>
          <w:p w14:paraId="2D495520">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eastAsia="仿宋GB2312"/>
                <w:sz w:val="22"/>
                <w:szCs w:val="22"/>
                <w:highlight w:val="none"/>
                <w:lang w:val="en-US" w:eastAsia="zh-CN"/>
              </w:rPr>
            </w:pPr>
            <w:r>
              <w:rPr>
                <w:rFonts w:ascii="仿宋GB2312" w:hAnsi="宋体" w:eastAsia="仿宋GB2312"/>
                <w:sz w:val="22"/>
                <w:szCs w:val="22"/>
                <w:highlight w:val="none"/>
              </w:rPr>
              <w:t>49200</w:t>
            </w:r>
          </w:p>
        </w:tc>
      </w:tr>
      <w:tr w14:paraId="41AE6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5000" w:type="pct"/>
            <w:gridSpan w:val="5"/>
            <w:tcBorders>
              <w:tl2br w:val="nil"/>
              <w:tr2bl w:val="nil"/>
            </w:tcBorders>
            <w:noWrap/>
            <w:tcMar>
              <w:top w:w="15" w:type="dxa"/>
              <w:left w:w="15" w:type="dxa"/>
              <w:bottom w:w="0" w:type="dxa"/>
              <w:right w:w="15" w:type="dxa"/>
            </w:tcMar>
            <w:vAlign w:val="center"/>
          </w:tcPr>
          <w:p w14:paraId="033EE3B1">
            <w:pPr>
              <w:keepNext w:val="0"/>
              <w:keepLines w:val="0"/>
              <w:pageBreakBefore w:val="0"/>
              <w:kinsoku/>
              <w:wordWrap/>
              <w:overflowPunct/>
              <w:topLinePunct w:val="0"/>
              <w:autoSpaceDE/>
              <w:autoSpaceDN/>
              <w:bidi w:val="0"/>
              <w:adjustRightInd/>
              <w:snapToGrid w:val="0"/>
              <w:spacing w:line="400" w:lineRule="exact"/>
              <w:ind w:firstLine="220" w:firstLineChars="100"/>
              <w:jc w:val="left"/>
              <w:textAlignment w:val="auto"/>
              <w:rPr>
                <w:rFonts w:hint="eastAsia" w:ascii="仿宋GB2312" w:hAnsi="宋体" w:eastAsia="仿宋GB2312"/>
                <w:sz w:val="20"/>
                <w:szCs w:val="20"/>
                <w:highlight w:val="none"/>
                <w:lang w:eastAsia="zh-CN"/>
              </w:rPr>
            </w:pPr>
            <w:r>
              <w:rPr>
                <w:rFonts w:hint="eastAsia" w:ascii="仿宋GB2312" w:hAnsi="宋体" w:eastAsia="仿宋GB2312"/>
                <w:sz w:val="22"/>
                <w:szCs w:val="22"/>
                <w:highlight w:val="none"/>
                <w:lang w:eastAsia="zh-CN"/>
              </w:rPr>
              <w:t>备注：以上估价仅为租金部分，不含物业、水电等其他费用。</w:t>
            </w:r>
          </w:p>
        </w:tc>
      </w:tr>
    </w:tbl>
    <w:p w14:paraId="2EE11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5.2 租金缴纳方式为季度支付。承租人需要按季度缴纳租金：第一季度应在每年的3月31日前缴纳；第二季度应在每年的6月30日前缴纳；第三季度应在每年的9月30日前缴纳；第四季度应在每年的12月31日前缴纳。所有租金支付必须采用银行转账方式，并将款项转入仙游县水务投资集团有限公司指定的账户。承租人应在约定时间内缴纳租金，超过时间未支付即为违约。（收款单位：仙游县水务投资集团有限公司，账号：145100100100153213，开户银行：兴业银行莆田仙游支行）。</w:t>
      </w:r>
    </w:p>
    <w:p w14:paraId="1D438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5.3 租金递增：对租赁期1年以上的标的物实行租金逐年递增的方式出租，租金年递增金额按上一年度租金的1%计取。</w:t>
      </w:r>
    </w:p>
    <w:p w14:paraId="2A55F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5.4 卫生劳务费：按承租面积每月2元/㎡计取，用于兰溪文化中心公共区域的卫生劳务费支付。即二楼（3号馆）卫生劳务费为900元/月，支付方式、时间和租金同步。</w:t>
      </w:r>
    </w:p>
    <w:p w14:paraId="7217B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5.5 水电费、污水及垃圾处理费：由招租人先行承担水电费、污水及垃圾处理等费用。标的物配有单独的水表、电表，租赁期间的水电费、污水及</w:t>
      </w:r>
      <w:bookmarkStart w:id="0" w:name="_GoBack"/>
      <w:bookmarkEnd w:id="0"/>
      <w:r>
        <w:rPr>
          <w:rFonts w:hint="eastAsia" w:ascii="仿宋GB2312" w:hAnsi="宋体" w:eastAsia="仿宋GB2312"/>
          <w:sz w:val="32"/>
          <w:szCs w:val="32"/>
          <w:highlight w:val="none"/>
          <w:lang w:val="en-US" w:eastAsia="zh-CN"/>
        </w:rPr>
        <w:t>垃圾处理费等由承租人按季度汇入招租方账户。承租人应在收到上一季度费用账单10日内缴清费用，超过约定时间未支付即视为违约。（电费经招租方测算后，单价为整个房屋当季度电费/当季度使用电量，电费为标的物当季度使用电量*电费单价；水费、污水处理费按实结算；垃圾处理费由招租方和承租人共同承担）</w:t>
      </w:r>
    </w:p>
    <w:p w14:paraId="18AE8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5.6 押金：押金为3个月合同租金。承租人须在合同签订后5日内缴纳。若承租人在租赁期间造成招租人财产损失或者未及时缴纳租金及其他费用造成的违约费用，招租人有权直接从该款项中扣减。</w:t>
      </w:r>
    </w:p>
    <w:p w14:paraId="30EF9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5.7 租赁期限：租期为伍年，按合同签订的租赁时间起算。</w:t>
      </w:r>
    </w:p>
    <w:p w14:paraId="3AD6FD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六、特别要求</w:t>
      </w:r>
    </w:p>
    <w:p w14:paraId="281A4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6.1 承租人不得将标的物进行转租。</w:t>
      </w:r>
    </w:p>
    <w:p w14:paraId="0AA66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6.2 承租人必须具备合法合规的经营资质，遵守相关法律法规，依法依规开展文化教育、培训等经营范围内的业务。不得从事任何违法违规及与文化教育、培训无关的经营活动，不得改变承租用途。</w:t>
      </w:r>
    </w:p>
    <w:p w14:paraId="48FBF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6.3 承租人不得经营卡拉OK、烧烤、夜店及造成水、声音污染等方面的扰民行为。</w:t>
      </w:r>
    </w:p>
    <w:p w14:paraId="37BCF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6.4 承租人不得从事排污排废、易燃易爆、放射性、有毒有害等危险物品的生产经营和储存。</w:t>
      </w:r>
    </w:p>
    <w:p w14:paraId="72AB1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6.5 承租人不得私自占用标的物以外的空间开展任何性质的经营活动。</w:t>
      </w:r>
    </w:p>
    <w:p w14:paraId="0E8DA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招租人发现承租人有本条款规定的任意行为，招租人有权要求承租人立即终止该行为，若承租人拒不改正，招租人有权解除租赁合同并收回该标的物，且不予返还已缴纳租金和押金，由此造成的一切损失由承租人自行承担。</w:t>
      </w:r>
    </w:p>
    <w:p w14:paraId="7F686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bCs/>
          <w:sz w:val="32"/>
          <w:szCs w:val="32"/>
          <w:highlight w:val="none"/>
          <w:lang w:val="en-US" w:eastAsia="zh-CN"/>
        </w:rPr>
      </w:pPr>
      <w:r>
        <w:rPr>
          <w:rFonts w:hint="eastAsia"/>
          <w:b/>
          <w:bCs/>
          <w:sz w:val="32"/>
          <w:szCs w:val="32"/>
          <w:highlight w:val="none"/>
          <w:lang w:val="en-US" w:eastAsia="zh-CN"/>
        </w:rPr>
        <w:t>七、其他事项</w:t>
      </w:r>
    </w:p>
    <w:p w14:paraId="7BCB3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7.1 承租人应在公开租赁结果公示结束次日起3个工作日内签订《租赁合同》，逾期或拒绝签订合同的，视为违约，招租人可取消其竞得资格，承租人应按竞得价的20%向招租人仙游县水务投资集团有限公司支付违约金，且投标保证金不予返还。</w:t>
      </w:r>
    </w:p>
    <w:p w14:paraId="4FBCB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7.2 承租人因生产经营需要的合法手续，由承租人办理。</w:t>
      </w:r>
    </w:p>
    <w:p w14:paraId="31C32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7.3 承租人在租赁期间应保持设施完整、完好，不得故意损坏标的物。因生产经营需要对租赁场所进行改造、装修的，必须向招租人提供改造、装修方案，经招租人同意后方可进行，否则造成的一切后果由承租人负责。改造、装修形成的所有固定资产在租赁期满后无偿归招租人所有，招租人不做任何经济补偿。</w:t>
      </w:r>
    </w:p>
    <w:p w14:paraId="09638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7.4 租赁期间的一切安全、卫生、环保、消防等责任由承租人承担，招租人不承担任何连带责任，因承租人生产经营所需的日常维修保养由承租人负责，费用由承租人承担。</w:t>
      </w:r>
    </w:p>
    <w:p w14:paraId="2DC43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7.5 租赁合同期满或终止时，承租人应向招租人提出退还押金并交回标的物，招租人在承租人结清所有费用后30日内将押金无息退还给承租人。</w:t>
      </w:r>
    </w:p>
    <w:p w14:paraId="5DE94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GB2312" w:hAnsi="宋体" w:eastAsia="仿宋GB2312"/>
          <w:sz w:val="32"/>
          <w:szCs w:val="32"/>
          <w:highlight w:val="none"/>
          <w:lang w:val="en-US" w:eastAsia="zh-CN"/>
        </w:rPr>
      </w:pPr>
      <w:r>
        <w:rPr>
          <w:rFonts w:hint="eastAsia" w:ascii="仿宋GB2312" w:hAnsi="宋体" w:eastAsia="仿宋GB2312"/>
          <w:sz w:val="32"/>
          <w:szCs w:val="32"/>
          <w:highlight w:val="none"/>
          <w:lang w:val="en-US" w:eastAsia="zh-CN"/>
        </w:rPr>
        <w:t>7.6 租赁合同期满或终止时，承租人应在30日内搬离并返还标的物，同时必须结清应承担的费用。承租人在30日内不进行交接的，责任由承租人承担，对于标的物内的逾期遗留物品，招租人有权进行处置。</w:t>
      </w:r>
    </w:p>
    <w:p w14:paraId="3B7166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sz w:val="32"/>
          <w:szCs w:val="32"/>
          <w:lang w:val="en-US" w:eastAsia="zh-CN"/>
        </w:rPr>
      </w:pPr>
    </w:p>
    <w:sectPr>
      <w:footerReference r:id="rId3" w:type="default"/>
      <w:pgSz w:w="11906" w:h="16838"/>
      <w:pgMar w:top="1440" w:right="1800" w:bottom="1440" w:left="1800"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A8D15D6-548E-42CE-AADB-68AAD683FB89}"/>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68DEF3F-51CE-46D4-A716-640C88F022C4}"/>
  </w:font>
  <w:font w:name="仿宋GB2312">
    <w:altName w:val="宋体"/>
    <w:panose1 w:val="00000000000000000000"/>
    <w:charset w:val="00"/>
    <w:family w:val="auto"/>
    <w:pitch w:val="default"/>
    <w:sig w:usb0="00000000" w:usb1="00000000" w:usb2="00000000" w:usb3="00000000" w:csb0="00000000" w:csb1="00000000"/>
    <w:embedRegular r:id="rId3" w:fontKey="{62E4E5C7-1A0F-4ED5-9CDE-FBF16E41D5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12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409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409E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C0448"/>
    <w:multiLevelType w:val="singleLevel"/>
    <w:tmpl w:val="489C04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NTY3Mzk4MDlkY2NhNGVhODdlMjA2OWI0NTM1OTEifQ=="/>
  </w:docVars>
  <w:rsids>
    <w:rsidRoot w:val="00000000"/>
    <w:rsid w:val="00C621A8"/>
    <w:rsid w:val="01065AD6"/>
    <w:rsid w:val="04E65170"/>
    <w:rsid w:val="0A8565D3"/>
    <w:rsid w:val="0B0D6E40"/>
    <w:rsid w:val="0C8E2094"/>
    <w:rsid w:val="0CFC7CF4"/>
    <w:rsid w:val="0D1D75F3"/>
    <w:rsid w:val="14FA578E"/>
    <w:rsid w:val="1E2A7341"/>
    <w:rsid w:val="24380CFA"/>
    <w:rsid w:val="25D90293"/>
    <w:rsid w:val="26B85D80"/>
    <w:rsid w:val="2B73039D"/>
    <w:rsid w:val="2FD909E0"/>
    <w:rsid w:val="30BB3500"/>
    <w:rsid w:val="312358F0"/>
    <w:rsid w:val="31DE2C17"/>
    <w:rsid w:val="34D47C15"/>
    <w:rsid w:val="39BA6041"/>
    <w:rsid w:val="39F92317"/>
    <w:rsid w:val="3C6C56BF"/>
    <w:rsid w:val="3DBE4A67"/>
    <w:rsid w:val="3E4053B8"/>
    <w:rsid w:val="3F285800"/>
    <w:rsid w:val="3F4A1B24"/>
    <w:rsid w:val="402D4E9E"/>
    <w:rsid w:val="41485A5E"/>
    <w:rsid w:val="42C1795A"/>
    <w:rsid w:val="43D5273D"/>
    <w:rsid w:val="4C1905A5"/>
    <w:rsid w:val="51BE002B"/>
    <w:rsid w:val="54A23691"/>
    <w:rsid w:val="58D376CA"/>
    <w:rsid w:val="5A563FC2"/>
    <w:rsid w:val="5D233FCE"/>
    <w:rsid w:val="5E384A2A"/>
    <w:rsid w:val="5F797F0B"/>
    <w:rsid w:val="63043D0B"/>
    <w:rsid w:val="70EC17E9"/>
    <w:rsid w:val="70FC1523"/>
    <w:rsid w:val="73924D88"/>
    <w:rsid w:val="75BB10E5"/>
    <w:rsid w:val="78374B81"/>
    <w:rsid w:val="7A171012"/>
    <w:rsid w:val="7A8D1049"/>
    <w:rsid w:val="7D2A2E68"/>
    <w:rsid w:val="7DAC16B0"/>
    <w:rsid w:val="7F93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7"/>
    <w:qFormat/>
    <w:uiPriority w:val="0"/>
    <w:pPr>
      <w:ind w:left="200" w:firstLine="420" w:firstLineChars="200"/>
    </w:pPr>
    <w:rPr>
      <w:rFonts w:ascii="Times New Roman" w:hAnsi="Times New Roman" w:eastAsia="仿宋_GB2312" w:cs="Times New Roman"/>
      <w:sz w:val="32"/>
    </w:rPr>
  </w:style>
  <w:style w:type="paragraph" w:customStyle="1" w:styleId="7">
    <w:name w:val="样式 标题 3 + (中文) 黑体 小四 非加粗 段前: 7.8 磅 段后: 0 磅 行距: 固定值 20 磅_0"/>
    <w:basedOn w:val="8"/>
    <w:qFormat/>
    <w:uiPriority w:val="0"/>
    <w:pPr>
      <w:spacing w:before="0" w:after="0" w:line="400" w:lineRule="exact"/>
    </w:pPr>
    <w:rPr>
      <w:rFonts w:eastAsia="黑体" w:cs="宋体"/>
      <w:b w:val="0"/>
      <w:bCs w:val="0"/>
      <w:sz w:val="21"/>
      <w:szCs w:val="20"/>
    </w:rPr>
  </w:style>
  <w:style w:type="paragraph" w:customStyle="1" w:styleId="8">
    <w:name w:val="标题 3_0"/>
    <w:basedOn w:val="9"/>
    <w:next w:val="10"/>
    <w:unhideWhenUsed/>
    <w:qFormat/>
    <w:uiPriority w:val="0"/>
    <w:pPr>
      <w:keepNext/>
      <w:keepLines/>
      <w:spacing w:before="260" w:after="260" w:line="416" w:lineRule="auto"/>
      <w:outlineLvl w:val="2"/>
    </w:pPr>
    <w:rPr>
      <w:rFonts w:eastAsia="仿宋_GB2312"/>
      <w:b/>
      <w:bCs/>
      <w:sz w:val="32"/>
      <w:szCs w:val="32"/>
    </w:rPr>
  </w:style>
  <w:style w:type="paragraph" w:customStyle="1" w:styleId="9">
    <w:name w:val="正文_0_0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
    <w:next w:val="6"/>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2559</Words>
  <Characters>2690</Characters>
  <Lines>0</Lines>
  <Paragraphs>0</Paragraphs>
  <TotalTime>37</TotalTime>
  <ScaleCrop>false</ScaleCrop>
  <LinksUpToDate>false</LinksUpToDate>
  <CharactersWithSpaces>2715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2024-04-30T01:59:00Z</dcterms:created>
  <dc:creator>c</dc:creator>
  <cp:lastModifiedBy>红霞</cp:lastModifiedBy>
  <cp:lastPrinted>2024-12-16T01:53:00Z</cp:lastPrinted>
  <dcterms:modified xsi:type="dcterms:W3CDTF">2024-12-23T09:02:26Z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CE02F9E7068E415895ABFAB438E3D2BF_13</vt:lpwstr>
  </property>
</Properties>
</file>