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CB5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兰溪文化中心一楼2号馆招租实施方案</w:t>
      </w:r>
    </w:p>
    <w:p w14:paraId="19D9D7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200D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为进一步有效盘活国有固定资产，提升集团造血功能，增加集团收入，并长期习惯过好紧日子，仙游县水务投资集团有限公司拟对位于木兰溪与瑞溪汇合口处兰溪文化中心一楼建筑面积543平方米房屋进行公开招租，参照《仙游县财政局文件关于印发仙游县行政事业单位国有资产出租出借管理规定的通知》（仙财规﹝2024﹞1号）有关规定，具体招租方案如下：</w:t>
      </w:r>
    </w:p>
    <w:p w14:paraId="219268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sz w:val="32"/>
          <w:szCs w:val="32"/>
          <w:highlight w:val="none"/>
          <w:lang w:val="en-US" w:eastAsia="zh-CN"/>
        </w:rPr>
      </w:pPr>
      <w:r>
        <w:rPr>
          <w:rFonts w:hint="eastAsia" w:cstheme="minorBidi"/>
          <w:b/>
          <w:bCs/>
          <w:kern w:val="2"/>
          <w:sz w:val="32"/>
          <w:szCs w:val="32"/>
          <w:highlight w:val="none"/>
          <w:lang w:val="en-US" w:eastAsia="zh-CN" w:bidi="ar-SA"/>
        </w:rPr>
        <w:t>基本情况</w:t>
      </w:r>
    </w:p>
    <w:p w14:paraId="7EFAE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兰溪文化中心位于木兰溪与瑞溪汇合口处，</w:t>
      </w:r>
      <w:r>
        <w:rPr>
          <w:rFonts w:hint="default" w:ascii="仿宋GB2312" w:hAnsi="宋体" w:eastAsia="仿宋GB2312"/>
          <w:sz w:val="32"/>
          <w:szCs w:val="32"/>
          <w:highlight w:val="none"/>
          <w:lang w:val="en-US" w:eastAsia="zh-CN"/>
        </w:rPr>
        <w:t>建筑面积1766㎡，建筑结构根据木兰花的3朵花瓣设计，绿化率73%，项目建设投资1550万元，于2019年3月完工</w:t>
      </w:r>
      <w:r>
        <w:rPr>
          <w:rFonts w:hint="eastAsia" w:ascii="仿宋GB2312" w:hAnsi="宋体" w:eastAsia="仿宋GB2312"/>
          <w:sz w:val="32"/>
          <w:szCs w:val="32"/>
          <w:highlight w:val="none"/>
          <w:lang w:val="en-US" w:eastAsia="zh-CN"/>
        </w:rPr>
        <w:t>，2020年1月正式投入运营</w:t>
      </w:r>
      <w:r>
        <w:rPr>
          <w:rFonts w:hint="default" w:ascii="仿宋GB2312" w:hAnsi="宋体" w:eastAsia="仿宋GB2312"/>
          <w:sz w:val="32"/>
          <w:szCs w:val="32"/>
          <w:highlight w:val="none"/>
          <w:lang w:val="en-US" w:eastAsia="zh-CN"/>
        </w:rPr>
        <w:t>。室内装修已配套中央空调、氛围灯等一系列基础设施，精装修完整。室外设有音乐喷泉、人文广场、氛围灯等设施，与周边的水系交相辉映，已然成为仙游市民休闲娱乐的中心场所。</w:t>
      </w:r>
    </w:p>
    <w:p w14:paraId="77E6E4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sz w:val="32"/>
          <w:szCs w:val="32"/>
          <w:highlight w:val="none"/>
          <w:lang w:val="en-US" w:eastAsia="zh-CN"/>
        </w:rPr>
      </w:pPr>
      <w:r>
        <w:rPr>
          <w:rFonts w:hint="eastAsia" w:cstheme="minorBidi"/>
          <w:b/>
          <w:bCs/>
          <w:kern w:val="2"/>
          <w:sz w:val="32"/>
          <w:szCs w:val="32"/>
          <w:highlight w:val="none"/>
          <w:lang w:val="en-US" w:eastAsia="zh-CN" w:bidi="ar-SA"/>
        </w:rPr>
        <w:t>二</w:t>
      </w:r>
      <w:r>
        <w:rPr>
          <w:rFonts w:hint="eastAsia"/>
          <w:b/>
          <w:bCs/>
          <w:sz w:val="32"/>
          <w:szCs w:val="32"/>
          <w:highlight w:val="none"/>
          <w:lang w:val="en-US" w:eastAsia="zh-CN"/>
        </w:rPr>
        <w:t>、招租范围</w:t>
      </w:r>
    </w:p>
    <w:p w14:paraId="167E3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兰溪文化中心一楼2号馆（限馆内使用），馆内面积约543㎡。</w:t>
      </w:r>
    </w:p>
    <w:p w14:paraId="122594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b/>
          <w:bCs/>
          <w:sz w:val="32"/>
          <w:szCs w:val="32"/>
          <w:highlight w:val="none"/>
          <w:lang w:val="en-US" w:eastAsia="zh-CN"/>
        </w:rPr>
      </w:pPr>
      <w:r>
        <w:rPr>
          <w:rFonts w:hint="eastAsia"/>
          <w:b/>
          <w:bCs/>
          <w:sz w:val="32"/>
          <w:szCs w:val="32"/>
          <w:highlight w:val="none"/>
          <w:lang w:val="en-US" w:eastAsia="zh-CN"/>
        </w:rPr>
        <w:t>三、承租人资格及条件</w:t>
      </w:r>
    </w:p>
    <w:p w14:paraId="2A96D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3.1 未纳入失信名单的企业或个人。</w:t>
      </w:r>
    </w:p>
    <w:p w14:paraId="6581D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3.2 仅限于招租文化教育、培训等相关运营。</w:t>
      </w:r>
    </w:p>
    <w:p w14:paraId="254C2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3.3 在交付竞租保证金后，按指定的时间和场合参加竞租。一楼2号馆保证金为人民币</w:t>
      </w:r>
      <w:r>
        <w:rPr>
          <w:rFonts w:hint="eastAsia" w:ascii="仿宋GB2312" w:hAnsi="宋体" w:eastAsia="仿宋GB2312"/>
          <w:sz w:val="32"/>
          <w:szCs w:val="32"/>
          <w:highlight w:val="none"/>
          <w:u w:val="single"/>
          <w:lang w:val="en-US" w:eastAsia="zh-CN"/>
        </w:rPr>
        <w:t>壹万伍仟玖佰元</w:t>
      </w:r>
      <w:r>
        <w:rPr>
          <w:rFonts w:hint="eastAsia" w:ascii="仿宋GB2312" w:hAnsi="宋体" w:eastAsia="仿宋GB2312"/>
          <w:sz w:val="32"/>
          <w:szCs w:val="32"/>
          <w:highlight w:val="none"/>
          <w:lang w:val="en-US" w:eastAsia="zh-CN"/>
        </w:rPr>
        <w:t>（¥15900元）。</w:t>
      </w:r>
    </w:p>
    <w:p w14:paraId="4A483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bCs/>
          <w:sz w:val="32"/>
          <w:szCs w:val="32"/>
          <w:highlight w:val="none"/>
          <w:lang w:val="en-US" w:eastAsia="zh-CN"/>
        </w:rPr>
      </w:pPr>
      <w:r>
        <w:rPr>
          <w:rFonts w:hint="eastAsia"/>
          <w:b/>
          <w:bCs/>
          <w:sz w:val="32"/>
          <w:szCs w:val="32"/>
          <w:highlight w:val="none"/>
          <w:lang w:val="en-US" w:eastAsia="zh-CN"/>
        </w:rPr>
        <w:t>四、租赁流程</w:t>
      </w:r>
    </w:p>
    <w:p w14:paraId="5934F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按照公开、公平、公正的原则向社会公开招租，报价高于或等于挂牌价的最高有效报价的竞价人为标的物承租人。委托专业中介机构负责本次公开招租工作，佣金按5000元包干，由承租人承担。</w:t>
      </w:r>
    </w:p>
    <w:p w14:paraId="6BC98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4.1 发布公告。在仙游县水利局官网上发布招租公告,公告时间自发布之日起10个工作日。公告期间，承租人可前往现场进行考察。</w:t>
      </w:r>
    </w:p>
    <w:p w14:paraId="6BCC8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4.2 资格预审。报名时承租人须提供企业（个人）征信证明、营业执照、承诺函（格式详见附件）、场馆各区域详细运管方案等。</w:t>
      </w:r>
    </w:p>
    <w:p w14:paraId="6E57D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4.3 公开竞价。委托第三方进行公开竞价、确定承租人。对于公开招租未成交（流拍）的，再次公开招租底价不得低于评估价的90%，再次未成交（流拍）的，第三次公开招租底价不得低于评估价的80%。三次均未成交（流拍）的，如继续公开招租底价低于评估价80%的，应重新评估，并按规定再次进行公开招租。</w:t>
      </w:r>
    </w:p>
    <w:p w14:paraId="4E88B2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641"/>
        <w:jc w:val="left"/>
        <w:textAlignment w:val="auto"/>
        <w:rPr>
          <w:rFonts w:hint="default" w:ascii="仿宋GB2312" w:hAnsi="宋体" w:eastAsia="仿宋GB2312" w:cstheme="minorBidi"/>
          <w:kern w:val="2"/>
          <w:sz w:val="32"/>
          <w:szCs w:val="32"/>
          <w:highlight w:val="none"/>
          <w:lang w:val="en-US" w:eastAsia="zh-CN" w:bidi="ar-SA"/>
        </w:rPr>
      </w:pPr>
      <w:r>
        <w:rPr>
          <w:rFonts w:hint="eastAsia" w:ascii="仿宋GB2312" w:hAnsi="宋体" w:eastAsia="仿宋GB2312"/>
          <w:sz w:val="32"/>
          <w:szCs w:val="32"/>
          <w:highlight w:val="none"/>
          <w:lang w:val="en-US" w:eastAsia="zh-CN"/>
        </w:rPr>
        <w:t>4.4公示。</w:t>
      </w:r>
      <w:r>
        <w:rPr>
          <w:rFonts w:hint="eastAsia" w:ascii="仿宋GB2312" w:hAnsi="宋体" w:eastAsia="仿宋GB2312" w:cstheme="minorBidi"/>
          <w:kern w:val="2"/>
          <w:sz w:val="32"/>
          <w:szCs w:val="32"/>
          <w:highlight w:val="none"/>
          <w:lang w:val="en-US" w:eastAsia="zh-CN" w:bidi="ar-SA"/>
        </w:rPr>
        <w:t>招租结果在</w:t>
      </w:r>
      <w:r>
        <w:rPr>
          <w:rFonts w:hint="default" w:ascii="仿宋GB2312" w:hAnsi="宋体" w:eastAsia="仿宋GB2312" w:cstheme="minorBidi"/>
          <w:kern w:val="2"/>
          <w:sz w:val="32"/>
          <w:szCs w:val="32"/>
          <w:highlight w:val="none"/>
          <w:lang w:val="en-US" w:eastAsia="zh-CN" w:bidi="ar-SA"/>
        </w:rPr>
        <w:t>仙游县水利局</w:t>
      </w:r>
      <w:r>
        <w:rPr>
          <w:rFonts w:hint="eastAsia" w:ascii="仿宋GB2312" w:hAnsi="宋体" w:eastAsia="仿宋GB2312" w:cstheme="minorBidi"/>
          <w:kern w:val="2"/>
          <w:sz w:val="32"/>
          <w:szCs w:val="32"/>
          <w:highlight w:val="none"/>
          <w:lang w:val="en-US" w:eastAsia="zh-CN" w:bidi="ar-SA"/>
        </w:rPr>
        <w:t>官网上进行公示，公示期为7天。</w:t>
      </w:r>
    </w:p>
    <w:p w14:paraId="3D71E1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4.5 合同签订。确定承租人后，与承租人签订出租合同，出租合同内容包括：标的名称、租赁期限、出租使用范围、租金及其他费用交付时限、安全生产经营、资产维护及租赁双方的权利、义务与违约责任等条款。</w:t>
      </w:r>
    </w:p>
    <w:p w14:paraId="32FB72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b/>
          <w:bCs/>
          <w:sz w:val="32"/>
          <w:szCs w:val="32"/>
          <w:highlight w:val="none"/>
          <w:lang w:val="en-US" w:eastAsia="zh-CN"/>
        </w:rPr>
      </w:pPr>
      <w:r>
        <w:rPr>
          <w:rFonts w:hint="eastAsia"/>
          <w:b/>
          <w:bCs/>
          <w:sz w:val="32"/>
          <w:szCs w:val="32"/>
          <w:highlight w:val="none"/>
          <w:lang w:val="en-US" w:eastAsia="zh-CN"/>
        </w:rPr>
        <w:t>五、租赁要求</w:t>
      </w:r>
    </w:p>
    <w:p w14:paraId="63308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5.1 租赁租金：仙游县水务投资集团有限公司根据具备资质的第三方评估机构</w:t>
      </w:r>
      <w:r>
        <w:rPr>
          <w:rFonts w:hint="eastAsia" w:ascii="仿宋GB2312" w:hAnsi="宋体" w:eastAsia="仿宋GB2312"/>
          <w:sz w:val="32"/>
          <w:szCs w:val="32"/>
          <w:highlight w:val="none"/>
          <w:lang w:val="zh-CN" w:eastAsia="zh-CN"/>
        </w:rPr>
        <w:t>实地评估</w:t>
      </w:r>
      <w:r>
        <w:rPr>
          <w:rFonts w:hint="eastAsia" w:ascii="仿宋GB2312" w:hAnsi="宋体" w:eastAsia="仿宋GB2312"/>
          <w:sz w:val="32"/>
          <w:szCs w:val="32"/>
          <w:highlight w:val="none"/>
          <w:lang w:val="en-US" w:eastAsia="zh-CN"/>
        </w:rPr>
        <w:t>，依据《房地产租赁估价报告》</w:t>
      </w:r>
      <w:r>
        <w:rPr>
          <w:rFonts w:hint="eastAsia" w:ascii="仿宋GB2312" w:hAnsi="宋体" w:eastAsia="仿宋GB2312"/>
          <w:sz w:val="32"/>
          <w:szCs w:val="32"/>
          <w:highlight w:val="none"/>
          <w:lang w:val="zh-CN" w:eastAsia="zh-CN"/>
        </w:rPr>
        <w:t>结果（下表）作为起拍价。</w:t>
      </w:r>
      <w:r>
        <w:rPr>
          <w:rFonts w:hint="eastAsia" w:ascii="仿宋GB2312" w:hAnsi="宋体" w:eastAsia="仿宋GB2312"/>
          <w:sz w:val="32"/>
          <w:szCs w:val="32"/>
          <w:highlight w:val="none"/>
          <w:lang w:val="en-US" w:eastAsia="zh-CN"/>
        </w:rPr>
        <w:t>报价高于或等于起拍价的最高有效报价为租金。</w:t>
      </w:r>
    </w:p>
    <w:p w14:paraId="010D30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HAnsi" w:hAnsiTheme="minorHAnsi" w:eastAsiaTheme="minorEastAsia" w:cstheme="minorBidi"/>
          <w:sz w:val="32"/>
          <w:szCs w:val="32"/>
          <w:highlight w:val="none"/>
          <w:u w:val="none"/>
          <w:shd w:val="clear"/>
          <w:lang w:eastAsia="zh-CN"/>
        </w:rPr>
      </w:pPr>
      <w:r>
        <w:rPr>
          <w:rFonts w:hint="eastAsia" w:ascii="仿宋GB2312" w:hAnsi="宋体" w:eastAsia="仿宋GB2312"/>
          <w:sz w:val="32"/>
          <w:szCs w:val="32"/>
          <w:highlight w:val="none"/>
          <w:lang w:eastAsia="zh-CN"/>
        </w:rPr>
        <w:t>房地产估价结果汇总表</w:t>
      </w:r>
    </w:p>
    <w:tbl>
      <w:tblPr>
        <w:tblStyle w:val="11"/>
        <w:tblpPr w:leftFromText="180" w:rightFromText="180" w:vertAnchor="text" w:horzAnchor="page" w:tblpXSpec="center" w:tblpY="301"/>
        <w:tblOverlap w:val="never"/>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88"/>
        <w:gridCol w:w="1485"/>
        <w:gridCol w:w="1457"/>
        <w:gridCol w:w="1200"/>
        <w:gridCol w:w="1203"/>
      </w:tblGrid>
      <w:tr w14:paraId="339DEC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1793" w:type="pct"/>
            <w:tcBorders>
              <w:tl2br w:val="nil"/>
              <w:tr2bl w:val="nil"/>
            </w:tcBorders>
            <w:tcMar>
              <w:top w:w="15" w:type="dxa"/>
              <w:left w:w="15" w:type="dxa"/>
              <w:bottom w:w="0" w:type="dxa"/>
              <w:right w:w="15" w:type="dxa"/>
            </w:tcMar>
            <w:vAlign w:val="center"/>
          </w:tcPr>
          <w:p w14:paraId="16C0222E">
            <w:pPr>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项目名称</w:t>
            </w:r>
          </w:p>
        </w:tc>
        <w:tc>
          <w:tcPr>
            <w:tcW w:w="891" w:type="pct"/>
            <w:tcBorders>
              <w:tl2br w:val="nil"/>
              <w:tr2bl w:val="nil"/>
            </w:tcBorders>
            <w:tcMar>
              <w:top w:w="15" w:type="dxa"/>
              <w:left w:w="15" w:type="dxa"/>
              <w:bottom w:w="0" w:type="dxa"/>
              <w:right w:w="15" w:type="dxa"/>
            </w:tcMar>
            <w:vAlign w:val="center"/>
          </w:tcPr>
          <w:p w14:paraId="48411F78">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建筑面积</w:t>
            </w:r>
          </w:p>
          <w:p w14:paraId="1D31DAC0">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w:t>
            </w:r>
          </w:p>
        </w:tc>
        <w:tc>
          <w:tcPr>
            <w:tcW w:w="874" w:type="pct"/>
            <w:tcBorders>
              <w:tl2br w:val="nil"/>
              <w:tr2bl w:val="nil"/>
            </w:tcBorders>
            <w:vAlign w:val="center"/>
          </w:tcPr>
          <w:p w14:paraId="2AD5C489">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月租金单价</w:t>
            </w:r>
          </w:p>
          <w:p w14:paraId="0009D426">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lang w:eastAsia="zh-CN"/>
              </w:rPr>
              <w:t>（</w:t>
            </w:r>
            <w:r>
              <w:rPr>
                <w:rFonts w:hint="eastAsia" w:ascii="仿宋GB2312" w:hAnsi="宋体" w:eastAsia="仿宋GB2312"/>
                <w:sz w:val="22"/>
                <w:szCs w:val="22"/>
                <w:highlight w:val="none"/>
              </w:rPr>
              <w:t>元/㎡</w:t>
            </w:r>
            <w:r>
              <w:rPr>
                <w:rFonts w:hint="eastAsia" w:ascii="仿宋GB2312" w:hAnsi="宋体" w:eastAsia="仿宋GB2312"/>
                <w:sz w:val="22"/>
                <w:szCs w:val="22"/>
                <w:highlight w:val="none"/>
                <w:lang w:val="en-US" w:eastAsia="zh-CN"/>
              </w:rPr>
              <w:t>.</w:t>
            </w:r>
            <w:r>
              <w:rPr>
                <w:rFonts w:hint="eastAsia" w:ascii="仿宋GB2312" w:hAnsi="宋体" w:eastAsia="仿宋GB2312"/>
                <w:sz w:val="22"/>
                <w:szCs w:val="22"/>
                <w:highlight w:val="none"/>
              </w:rPr>
              <w:t>月</w:t>
            </w:r>
            <w:r>
              <w:rPr>
                <w:rFonts w:hint="eastAsia" w:ascii="仿宋GB2312" w:hAnsi="宋体" w:eastAsia="仿宋GB2312"/>
                <w:sz w:val="22"/>
                <w:szCs w:val="22"/>
                <w:highlight w:val="none"/>
                <w:lang w:eastAsia="zh-CN"/>
              </w:rPr>
              <w:t>）</w:t>
            </w:r>
          </w:p>
        </w:tc>
        <w:tc>
          <w:tcPr>
            <w:tcW w:w="720" w:type="pct"/>
            <w:tcBorders>
              <w:tl2br w:val="nil"/>
              <w:tr2bl w:val="nil"/>
            </w:tcBorders>
            <w:vAlign w:val="center"/>
          </w:tcPr>
          <w:p w14:paraId="16CD0B4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月租金总价</w:t>
            </w:r>
          </w:p>
          <w:p w14:paraId="01F29272">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（元）</w:t>
            </w:r>
          </w:p>
        </w:tc>
        <w:tc>
          <w:tcPr>
            <w:tcW w:w="721" w:type="pct"/>
            <w:tcBorders>
              <w:tl2br w:val="nil"/>
              <w:tr2bl w:val="nil"/>
            </w:tcBorders>
            <w:vAlign w:val="center"/>
          </w:tcPr>
          <w:p w14:paraId="1578A7D4">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年租金总价</w:t>
            </w:r>
          </w:p>
          <w:p w14:paraId="6A97E378">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（元）</w:t>
            </w:r>
          </w:p>
        </w:tc>
      </w:tr>
      <w:tr w14:paraId="629F78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793" w:type="pct"/>
            <w:tcBorders>
              <w:tl2br w:val="nil"/>
              <w:tr2bl w:val="nil"/>
            </w:tcBorders>
            <w:noWrap/>
            <w:tcMar>
              <w:top w:w="15" w:type="dxa"/>
              <w:left w:w="15" w:type="dxa"/>
              <w:bottom w:w="0" w:type="dxa"/>
              <w:right w:w="15" w:type="dxa"/>
            </w:tcMar>
            <w:vAlign w:val="center"/>
          </w:tcPr>
          <w:p w14:paraId="53AB7FA9">
            <w:pPr>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兰溪文化中心</w:t>
            </w:r>
            <w:r>
              <w:rPr>
                <w:rFonts w:hint="eastAsia" w:ascii="仿宋GB2312" w:hAnsi="宋体" w:eastAsia="仿宋GB2312"/>
                <w:sz w:val="22"/>
                <w:szCs w:val="22"/>
                <w:highlight w:val="none"/>
                <w:lang w:val="en-US" w:eastAsia="zh-CN"/>
              </w:rPr>
              <w:t>一</w:t>
            </w:r>
            <w:r>
              <w:rPr>
                <w:rFonts w:hint="eastAsia" w:ascii="仿宋GB2312" w:hAnsi="宋体" w:eastAsia="仿宋GB2312"/>
                <w:sz w:val="22"/>
                <w:szCs w:val="22"/>
                <w:highlight w:val="none"/>
              </w:rPr>
              <w:t>楼（</w:t>
            </w:r>
            <w:r>
              <w:rPr>
                <w:rFonts w:hint="eastAsia" w:ascii="仿宋GB2312" w:hAnsi="宋体" w:eastAsia="仿宋GB2312"/>
                <w:sz w:val="22"/>
                <w:szCs w:val="22"/>
                <w:highlight w:val="none"/>
                <w:lang w:val="en-US" w:eastAsia="zh-CN"/>
              </w:rPr>
              <w:t>2</w:t>
            </w:r>
            <w:r>
              <w:rPr>
                <w:rFonts w:hint="eastAsia" w:ascii="仿宋GB2312" w:hAnsi="宋体" w:eastAsia="仿宋GB2312"/>
                <w:sz w:val="22"/>
                <w:szCs w:val="22"/>
                <w:highlight w:val="none"/>
              </w:rPr>
              <w:t>号馆）</w:t>
            </w:r>
          </w:p>
        </w:tc>
        <w:tc>
          <w:tcPr>
            <w:tcW w:w="891" w:type="pct"/>
            <w:tcBorders>
              <w:tl2br w:val="nil"/>
              <w:tr2bl w:val="nil"/>
            </w:tcBorders>
            <w:noWrap/>
            <w:tcMar>
              <w:top w:w="15" w:type="dxa"/>
              <w:left w:w="15" w:type="dxa"/>
              <w:bottom w:w="0" w:type="dxa"/>
              <w:right w:w="15" w:type="dxa"/>
            </w:tcMar>
            <w:vAlign w:val="center"/>
          </w:tcPr>
          <w:p w14:paraId="27034AB7">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仿宋GB2312" w:hAnsi="宋体" w:eastAsia="仿宋GB2312"/>
                <w:sz w:val="22"/>
                <w:szCs w:val="22"/>
                <w:highlight w:val="none"/>
                <w:lang w:val="en-US" w:eastAsia="zh-CN"/>
              </w:rPr>
            </w:pPr>
            <w:r>
              <w:rPr>
                <w:rFonts w:hint="eastAsia" w:ascii="仿宋GB2312" w:hAnsi="宋体" w:eastAsia="仿宋GB2312"/>
                <w:sz w:val="22"/>
                <w:szCs w:val="22"/>
                <w:highlight w:val="none"/>
                <w:lang w:val="en-US" w:eastAsia="zh-CN"/>
              </w:rPr>
              <w:t>543</w:t>
            </w:r>
          </w:p>
        </w:tc>
        <w:tc>
          <w:tcPr>
            <w:tcW w:w="874" w:type="pct"/>
            <w:tcBorders>
              <w:tl2br w:val="nil"/>
              <w:tr2bl w:val="nil"/>
            </w:tcBorders>
            <w:vAlign w:val="center"/>
          </w:tcPr>
          <w:p w14:paraId="20A6E995">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eastAsiaTheme="minorEastAsia"/>
                <w:sz w:val="22"/>
                <w:szCs w:val="22"/>
                <w:highlight w:val="none"/>
                <w:lang w:val="en-US" w:eastAsia="zh-CN"/>
              </w:rPr>
            </w:pPr>
            <w:r>
              <w:rPr>
                <w:rFonts w:hint="eastAsia" w:ascii="仿宋GB2312" w:eastAsia="仿宋GB2312" w:hAnsiTheme="minorEastAsia"/>
                <w:sz w:val="22"/>
                <w:szCs w:val="22"/>
                <w:highlight w:val="none"/>
                <w:lang w:val="en-US" w:eastAsia="zh-CN"/>
              </w:rPr>
              <w:t>9.8</w:t>
            </w:r>
          </w:p>
        </w:tc>
        <w:tc>
          <w:tcPr>
            <w:tcW w:w="720" w:type="pct"/>
            <w:tcBorders>
              <w:tl2br w:val="nil"/>
              <w:tr2bl w:val="nil"/>
            </w:tcBorders>
            <w:vAlign w:val="center"/>
          </w:tcPr>
          <w:p w14:paraId="136FDE05">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eastAsia="仿宋GB2312"/>
                <w:sz w:val="22"/>
                <w:szCs w:val="22"/>
                <w:highlight w:val="none"/>
                <w:lang w:val="en-US" w:eastAsia="zh-CN"/>
              </w:rPr>
            </w:pPr>
            <w:r>
              <w:rPr>
                <w:rFonts w:hint="eastAsia" w:ascii="仿宋GB2312" w:hAnsi="宋体" w:eastAsia="仿宋GB2312"/>
                <w:sz w:val="22"/>
                <w:szCs w:val="22"/>
                <w:highlight w:val="none"/>
                <w:lang w:val="en-US" w:eastAsia="zh-CN"/>
              </w:rPr>
              <w:t>5300</w:t>
            </w:r>
          </w:p>
        </w:tc>
        <w:tc>
          <w:tcPr>
            <w:tcW w:w="721" w:type="pct"/>
            <w:tcBorders>
              <w:tl2br w:val="nil"/>
              <w:tr2bl w:val="nil"/>
            </w:tcBorders>
            <w:vAlign w:val="center"/>
          </w:tcPr>
          <w:p w14:paraId="2D495520">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eastAsia="仿宋GB2312"/>
                <w:sz w:val="22"/>
                <w:szCs w:val="22"/>
                <w:highlight w:val="none"/>
                <w:lang w:val="en-US" w:eastAsia="zh-CN"/>
              </w:rPr>
            </w:pPr>
            <w:r>
              <w:rPr>
                <w:rFonts w:hint="eastAsia" w:ascii="仿宋GB2312" w:hAnsi="宋体" w:eastAsia="仿宋GB2312"/>
                <w:sz w:val="22"/>
                <w:szCs w:val="22"/>
                <w:highlight w:val="none"/>
                <w:lang w:val="en-US" w:eastAsia="zh-CN"/>
              </w:rPr>
              <w:t>63600</w:t>
            </w:r>
          </w:p>
        </w:tc>
      </w:tr>
      <w:tr w14:paraId="41AE6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5000" w:type="pct"/>
            <w:gridSpan w:val="5"/>
            <w:tcBorders>
              <w:tl2br w:val="nil"/>
              <w:tr2bl w:val="nil"/>
            </w:tcBorders>
            <w:noWrap/>
            <w:tcMar>
              <w:top w:w="15" w:type="dxa"/>
              <w:left w:w="15" w:type="dxa"/>
              <w:bottom w:w="0" w:type="dxa"/>
              <w:right w:w="15" w:type="dxa"/>
            </w:tcMar>
            <w:vAlign w:val="center"/>
          </w:tcPr>
          <w:p w14:paraId="033EE3B1">
            <w:pPr>
              <w:keepNext w:val="0"/>
              <w:keepLines w:val="0"/>
              <w:pageBreakBefore w:val="0"/>
              <w:kinsoku/>
              <w:wordWrap/>
              <w:overflowPunct/>
              <w:topLinePunct w:val="0"/>
              <w:autoSpaceDE/>
              <w:autoSpaceDN/>
              <w:bidi w:val="0"/>
              <w:adjustRightInd/>
              <w:snapToGrid w:val="0"/>
              <w:spacing w:line="400" w:lineRule="exact"/>
              <w:ind w:firstLine="220" w:firstLineChars="100"/>
              <w:jc w:val="left"/>
              <w:textAlignment w:val="auto"/>
              <w:rPr>
                <w:rFonts w:hint="eastAsia" w:ascii="仿宋GB2312" w:hAnsi="宋体" w:eastAsia="仿宋GB2312"/>
                <w:sz w:val="20"/>
                <w:szCs w:val="20"/>
                <w:highlight w:val="none"/>
                <w:lang w:eastAsia="zh-CN"/>
              </w:rPr>
            </w:pPr>
            <w:r>
              <w:rPr>
                <w:rFonts w:hint="eastAsia" w:ascii="仿宋GB2312" w:hAnsi="宋体" w:eastAsia="仿宋GB2312"/>
                <w:sz w:val="22"/>
                <w:szCs w:val="22"/>
                <w:highlight w:val="none"/>
                <w:lang w:eastAsia="zh-CN"/>
              </w:rPr>
              <w:t>备注：以上估价仅为租金部分，不含物业、水电等其他费用。</w:t>
            </w:r>
          </w:p>
        </w:tc>
      </w:tr>
    </w:tbl>
    <w:p w14:paraId="2EE11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5.2 租金缴纳方式为季度支付。承租人需要按季度缴纳租金：第一季度应在每年的3月31日前缴纳；第二季度应在每年的6月30日前缴纳；第三季度应在每年的9月30日前缴纳；第四季度应在每年的12月31日前缴纳。所有租金支付必须采用银行转账方式，并将款项转入仙游县水务投资集团有限公司指定的账户。承租人应在约定时间内缴纳租金，超过时间未支付即为违约。（收款单位：仙游县水务投资集团有限公司，账号：145100100100153213，开户银行：兴业银行莆田仙游支行）。</w:t>
      </w:r>
    </w:p>
    <w:p w14:paraId="1D438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5.3 租金递增：对租赁期1年以上的标的物实行租金逐年递增的方式出租，租金年递增金额按上一年度租金的1%计取。</w:t>
      </w:r>
    </w:p>
    <w:p w14:paraId="2A55F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5.4 卫生劳务费：按承租面积每月2元/㎡计取，用于兰溪文化中心公共区域的卫生劳务费支付。即一楼（2号馆）卫生劳务费为1086元/月，支付方式、时间和租金同步。</w:t>
      </w:r>
    </w:p>
    <w:p w14:paraId="7217B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5.5 水电费、污水及垃圾处理费：由招租人先行承担水电费、污水及垃圾处理等费用。标的物配有单独的水表、电表，租赁期间的水电费、污水及垃圾处理费等由承租人按季度汇入招租方账户。承租人应在收到上一季度费用账单10日内缴清费用，超过约定时间未支付即视为违约。（电费经招租方测算后，单价为整个房屋当季度电费/当季度使用电量，电费为标的物当季度使用电量*电费单价；水费、污水处理费按实结算；垃圾处理费由招租方和承租人共同承担）</w:t>
      </w:r>
    </w:p>
    <w:p w14:paraId="18AE8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5.6 押金：押金为3个月合同租金。承租人须在合同签订后5日内缴纳。若承租人在租赁期间造成招租人财产损失或者未及时缴纳租金及其他费用造成的违约费用，招租人有权直接从该款项中扣减。</w:t>
      </w:r>
      <w:bookmarkStart w:id="0" w:name="_GoBack"/>
      <w:bookmarkEnd w:id="0"/>
    </w:p>
    <w:p w14:paraId="30EF9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5.7 租赁期限：租期为伍年，按合同签订的租赁时间起算。</w:t>
      </w:r>
    </w:p>
    <w:p w14:paraId="3AD6FD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bCs/>
          <w:sz w:val="32"/>
          <w:szCs w:val="32"/>
          <w:highlight w:val="none"/>
          <w:lang w:val="en-US" w:eastAsia="zh-CN"/>
        </w:rPr>
      </w:pPr>
      <w:r>
        <w:rPr>
          <w:rFonts w:hint="eastAsia"/>
          <w:b/>
          <w:bCs/>
          <w:sz w:val="32"/>
          <w:szCs w:val="32"/>
          <w:highlight w:val="none"/>
          <w:lang w:val="en-US" w:eastAsia="zh-CN"/>
        </w:rPr>
        <w:t>六、特别要求</w:t>
      </w:r>
    </w:p>
    <w:p w14:paraId="281A4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6.1 承租人不得将标的物进行转租。</w:t>
      </w:r>
    </w:p>
    <w:p w14:paraId="0AA66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6.2 承租人必须具备合法合规的经营资质，遵守相关法律法规，依法依规开展文化教育、培训等经营范围内的业务。不得从事任何违法违规及与文化教育、培训无关的经营活动，不得改变承租用途。</w:t>
      </w:r>
    </w:p>
    <w:p w14:paraId="48FBF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6.3 承租人不得经营卡拉OK、烧烤、夜店及造成水、声音污染等方面的扰民行为。</w:t>
      </w:r>
    </w:p>
    <w:p w14:paraId="37BCF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6.4 承租人不得从事排污排废、易燃易爆、放射性、有毒有害等危险物品的生产经营和储存。</w:t>
      </w:r>
    </w:p>
    <w:p w14:paraId="72AB1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6.5 承租人不得私自占用标的物以外的空间开展任何性质的经营活动。</w:t>
      </w:r>
    </w:p>
    <w:p w14:paraId="0E8DA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招租人发现承租人有本条款规定的任意行为，招租人有权要求承租人立即终止该行为，若承租人拒不改正，招租人有权解除租赁合同并收回该标的物，且不予返还已缴纳租金和押金，由此造成的一切损失由承租人自行承担。</w:t>
      </w:r>
    </w:p>
    <w:p w14:paraId="7F6868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bCs/>
          <w:sz w:val="32"/>
          <w:szCs w:val="32"/>
          <w:highlight w:val="none"/>
          <w:lang w:val="en-US" w:eastAsia="zh-CN"/>
        </w:rPr>
      </w:pPr>
      <w:r>
        <w:rPr>
          <w:rFonts w:hint="eastAsia"/>
          <w:b/>
          <w:bCs/>
          <w:sz w:val="32"/>
          <w:szCs w:val="32"/>
          <w:highlight w:val="none"/>
          <w:lang w:val="en-US" w:eastAsia="zh-CN"/>
        </w:rPr>
        <w:t>七、其他事项</w:t>
      </w:r>
    </w:p>
    <w:p w14:paraId="7BCB3E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7.1 承租人应在公开租赁结果公示结束次日起3个工作日内签订《租赁合同》，逾期或拒绝签订合同的，视为违约，招租人可取消其竞得资格，承租人应按竞得价的20%向招租人仙游县水务投资集团有限公司支付违约金，且投标保证金不予返还。</w:t>
      </w:r>
    </w:p>
    <w:p w14:paraId="4FBCB9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7.2 承租人因生产经营需要的合法手续，由承租人办理。</w:t>
      </w:r>
    </w:p>
    <w:p w14:paraId="31C32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7.3 承租人在租赁期间应保持设施完整、完好，不得故意损坏标的物。因生产经营需要对租赁场所进行改造、装修的，必须向招租人提供改造、装修方案，经招租人同意后方可进行，否则造成的一切后果由承租人负责。改造、装修形成的所有固定资产在租赁期满后无偿归招租人所有，招租人不做任何经济补偿。</w:t>
      </w:r>
    </w:p>
    <w:p w14:paraId="09638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7.4 租赁期间的一切安全、卫生、环保、消防等责任由承租人承担，招租人不承担任何连带责任，因承租人生产经营所需的日常维修保养由承租人负责，费用由承租人承担。</w:t>
      </w:r>
    </w:p>
    <w:p w14:paraId="2DC43D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7.5 租赁合同期满或终止时，承租人应向招租人提出退还押金并交回标的物，招租人在承租人结清所有费用后30日内将押金无息退还给承租人。</w:t>
      </w:r>
    </w:p>
    <w:p w14:paraId="5DE94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7.6 租赁合同期满或终止时，承租人应在30日内搬离并返还标的物，同时必须结清应承担的费用。承租人在30日内不进行交接的，责任由承租人承担，对于标的物内的逾期遗留物品，招租人有权进行处置。</w:t>
      </w:r>
    </w:p>
    <w:p w14:paraId="3B71660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sz w:val="32"/>
          <w:szCs w:val="32"/>
          <w:lang w:val="en-US" w:eastAsia="zh-CN"/>
        </w:rPr>
      </w:pPr>
    </w:p>
    <w:sectPr>
      <w:footerReference r:id="rId3" w:type="default"/>
      <w:pgSz w:w="11906" w:h="16838"/>
      <w:pgMar w:top="1440" w:right="1800" w:bottom="1440" w:left="1800"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A136E4B-FF90-4652-B37E-D3CE1117CE2E}"/>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GB2312">
    <w:altName w:val="宋体"/>
    <w:panose1 w:val="00000000000000000000"/>
    <w:charset w:val="00"/>
    <w:family w:val="auto"/>
    <w:pitch w:val="default"/>
    <w:sig w:usb0="00000000" w:usb1="00000000" w:usb2="00000000" w:usb3="00000000" w:csb0="00000000" w:csb1="00000000"/>
    <w:embedRegular r:id="rId2" w:fontKey="{BE041F7C-F9C8-4518-AC73-0AF2B1BFF5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12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409E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9409E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C0448"/>
    <w:multiLevelType w:val="singleLevel"/>
    <w:tmpl w:val="489C04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NTY3Mzk4MDlkY2NhNGVhODdlMjA2OWI0NTM1OTEifQ=="/>
  </w:docVars>
  <w:rsids>
    <w:rsidRoot w:val="00000000"/>
    <w:rsid w:val="00C621A8"/>
    <w:rsid w:val="01065AD6"/>
    <w:rsid w:val="04E65170"/>
    <w:rsid w:val="0A8565D3"/>
    <w:rsid w:val="0B0D6E40"/>
    <w:rsid w:val="0C8E2094"/>
    <w:rsid w:val="0CFC7CF4"/>
    <w:rsid w:val="0D1D75F3"/>
    <w:rsid w:val="14FA578E"/>
    <w:rsid w:val="1E2A7341"/>
    <w:rsid w:val="23885ECB"/>
    <w:rsid w:val="24380CFA"/>
    <w:rsid w:val="25D90293"/>
    <w:rsid w:val="26B85D80"/>
    <w:rsid w:val="2B73039D"/>
    <w:rsid w:val="2FD909E0"/>
    <w:rsid w:val="30BB3500"/>
    <w:rsid w:val="312358F0"/>
    <w:rsid w:val="31DE2C17"/>
    <w:rsid w:val="34D47C15"/>
    <w:rsid w:val="39BA6041"/>
    <w:rsid w:val="39F92317"/>
    <w:rsid w:val="3C6C56BF"/>
    <w:rsid w:val="3DBE4A67"/>
    <w:rsid w:val="3E4053B8"/>
    <w:rsid w:val="3F285800"/>
    <w:rsid w:val="3F4A1B24"/>
    <w:rsid w:val="402D4E9E"/>
    <w:rsid w:val="41485A5E"/>
    <w:rsid w:val="42C1795A"/>
    <w:rsid w:val="43D5273D"/>
    <w:rsid w:val="4C1905A5"/>
    <w:rsid w:val="51BE002B"/>
    <w:rsid w:val="54A23691"/>
    <w:rsid w:val="58D376CA"/>
    <w:rsid w:val="5A563FC2"/>
    <w:rsid w:val="5D233FCE"/>
    <w:rsid w:val="5E384A2A"/>
    <w:rsid w:val="5F797F0B"/>
    <w:rsid w:val="63043D0B"/>
    <w:rsid w:val="70EC17E9"/>
    <w:rsid w:val="70FC1523"/>
    <w:rsid w:val="73924D88"/>
    <w:rsid w:val="75BB10E5"/>
    <w:rsid w:val="78374B81"/>
    <w:rsid w:val="7A171012"/>
    <w:rsid w:val="7A8D1049"/>
    <w:rsid w:val="7D2A2E68"/>
    <w:rsid w:val="7DAC16B0"/>
    <w:rsid w:val="7F934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7"/>
    <w:qFormat/>
    <w:uiPriority w:val="0"/>
    <w:pPr>
      <w:ind w:left="200" w:firstLine="420" w:firstLineChars="200"/>
    </w:pPr>
    <w:rPr>
      <w:rFonts w:ascii="Times New Roman" w:hAnsi="Times New Roman" w:eastAsia="仿宋_GB2312" w:cs="Times New Roman"/>
      <w:sz w:val="32"/>
    </w:rPr>
  </w:style>
  <w:style w:type="paragraph" w:customStyle="1" w:styleId="7">
    <w:name w:val="样式 标题 3 + (中文) 黑体 小四 非加粗 段前: 7.8 磅 段后: 0 磅 行距: 固定值 20 磅_0"/>
    <w:basedOn w:val="8"/>
    <w:qFormat/>
    <w:uiPriority w:val="0"/>
    <w:pPr>
      <w:spacing w:before="0" w:after="0" w:line="400" w:lineRule="exact"/>
    </w:pPr>
    <w:rPr>
      <w:rFonts w:eastAsia="黑体" w:cs="宋体"/>
      <w:b w:val="0"/>
      <w:bCs w:val="0"/>
      <w:sz w:val="21"/>
      <w:szCs w:val="20"/>
    </w:rPr>
  </w:style>
  <w:style w:type="paragraph" w:customStyle="1" w:styleId="8">
    <w:name w:val="标题 3_0"/>
    <w:basedOn w:val="9"/>
    <w:next w:val="10"/>
    <w:unhideWhenUsed/>
    <w:qFormat/>
    <w:uiPriority w:val="0"/>
    <w:pPr>
      <w:keepNext/>
      <w:keepLines/>
      <w:spacing w:before="260" w:after="260" w:line="416" w:lineRule="auto"/>
      <w:outlineLvl w:val="2"/>
    </w:pPr>
    <w:rPr>
      <w:rFonts w:eastAsia="仿宋_GB2312"/>
      <w:b/>
      <w:bCs/>
      <w:sz w:val="32"/>
      <w:szCs w:val="32"/>
    </w:rPr>
  </w:style>
  <w:style w:type="paragraph" w:customStyle="1" w:styleId="9">
    <w:name w:val="正文_0_0_0"/>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1"/>
    <w:next w:val="6"/>
    <w:qFormat/>
    <w:uiPriority w:val="0"/>
    <w:pPr>
      <w:widowControl w:val="0"/>
      <w:spacing w:line="240" w:lineRule="auto"/>
      <w:ind w:firstLine="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2559</Words>
  <Characters>2690</Characters>
  <Lines>0</Lines>
  <Paragraphs>0</Paragraphs>
  <TotalTime>41</TotalTime>
  <ScaleCrop>false</ScaleCrop>
  <LinksUpToDate>false</LinksUpToDate>
  <CharactersWithSpaces>2715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2024-04-30T01:59:00Z</dcterms:created>
  <dc:creator>c</dc:creator>
  <cp:lastModifiedBy>郑俊凌</cp:lastModifiedBy>
  <cp:lastPrinted>2024-12-16T01:53:00Z</cp:lastPrinted>
  <dcterms:modified xsi:type="dcterms:W3CDTF">2024-12-25T03:19:14Z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CE02F9E7068E415895ABFAB438E3D2BF_13</vt:lpwstr>
  </property>
</Properties>
</file>