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15" w:lineRule="atLeast"/>
        <w:jc w:val="center"/>
        <w:rPr>
          <w:rFonts w:hint="eastAsia" w:ascii="宋体" w:hAnsi="宋体" w:eastAsia="宋体" w:cs="宋体"/>
          <w:sz w:val="24"/>
          <w:szCs w:val="24"/>
        </w:rPr>
      </w:pPr>
      <w:r>
        <w:rPr>
          <w:rFonts w:ascii="方正小标宋简体" w:hAnsi="方正小标宋简体" w:eastAsia="方正小标宋简体" w:cs="方正小标宋简体"/>
          <w:sz w:val="24"/>
          <w:szCs w:val="24"/>
        </w:rPr>
        <w:t>仙游县行政</w:t>
      </w:r>
      <w:bookmarkStart w:id="0" w:name="_GoBack"/>
      <w:bookmarkEnd w:id="0"/>
      <w:r>
        <w:rPr>
          <w:rFonts w:ascii="方正小标宋简体" w:hAnsi="方正小标宋简体" w:eastAsia="方正小标宋简体" w:cs="方正小标宋简体"/>
          <w:sz w:val="24"/>
          <w:szCs w:val="24"/>
        </w:rPr>
        <w:t>审批中介服务事项目录（</w:t>
      </w:r>
      <w:r>
        <w:rPr>
          <w:rFonts w:hint="eastAsia" w:ascii="宋体" w:hAnsi="宋体" w:eastAsia="宋体" w:cs="宋体"/>
          <w:sz w:val="24"/>
          <w:szCs w:val="24"/>
        </w:rPr>
        <w:t>65</w:t>
      </w:r>
      <w:r>
        <w:rPr>
          <w:rFonts w:hint="default" w:ascii="方正小标宋简体" w:hAnsi="方正小标宋简体" w:eastAsia="方正小标宋简体" w:cs="方正小标宋简体"/>
          <w:sz w:val="24"/>
          <w:szCs w:val="24"/>
        </w:rPr>
        <w:t>项）</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tbl>
      <w:tblPr>
        <w:tblW w:w="1451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35"/>
        <w:gridCol w:w="820"/>
        <w:gridCol w:w="723"/>
        <w:gridCol w:w="886"/>
        <w:gridCol w:w="1023"/>
        <w:gridCol w:w="1105"/>
        <w:gridCol w:w="5522"/>
        <w:gridCol w:w="1487"/>
        <w:gridCol w:w="945"/>
        <w:gridCol w:w="814"/>
        <w:gridCol w:w="7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序号</w:t>
            </w:r>
            <w:r>
              <w:rPr>
                <w:rFonts w:hint="eastAsia" w:ascii="宋体" w:hAnsi="宋体" w:eastAsia="宋体" w:cs="宋体"/>
                <w:sz w:val="24"/>
                <w:szCs w:val="24"/>
                <w:bdr w:val="none" w:color="auto" w:sz="0" w:space="0"/>
              </w:rPr>
              <w:t>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审批事</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项名称</w:t>
            </w:r>
            <w:r>
              <w:rPr>
                <w:rFonts w:hint="eastAsia" w:ascii="宋体" w:hAnsi="宋体" w:eastAsia="宋体" w:cs="宋体"/>
                <w:sz w:val="24"/>
                <w:szCs w:val="24"/>
                <w:bdr w:val="none" w:color="auto" w:sz="0" w:space="0"/>
              </w:rPr>
              <w:t>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实施</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部门</w:t>
            </w:r>
            <w:r>
              <w:rPr>
                <w:rFonts w:hint="eastAsia" w:ascii="宋体" w:hAnsi="宋体" w:eastAsia="宋体" w:cs="宋体"/>
                <w:sz w:val="24"/>
                <w:szCs w:val="24"/>
                <w:bdr w:val="none" w:color="auto" w:sz="0" w:space="0"/>
              </w:rPr>
              <w:t>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共同实</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施部门</w:t>
            </w: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中介服务事项名称</w:t>
            </w:r>
            <w:r>
              <w:rPr>
                <w:rFonts w:hint="eastAsia" w:ascii="宋体" w:hAnsi="宋体" w:eastAsia="宋体" w:cs="宋体"/>
                <w:sz w:val="24"/>
                <w:szCs w:val="24"/>
                <w:bdr w:val="none" w:color="auto" w:sz="0" w:space="0"/>
              </w:rPr>
              <w:t>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机构类型</w:t>
            </w:r>
            <w:r>
              <w:rPr>
                <w:rFonts w:hint="eastAsia" w:ascii="宋体" w:hAnsi="宋体" w:eastAsia="宋体" w:cs="宋体"/>
                <w:sz w:val="24"/>
                <w:szCs w:val="24"/>
                <w:bdr w:val="none" w:color="auto" w:sz="0" w:space="0"/>
              </w:rPr>
              <w:t>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设定中介服务的依据</w:t>
            </w:r>
            <w:r>
              <w:rPr>
                <w:rFonts w:hint="eastAsia" w:ascii="宋体" w:hAnsi="宋体" w:eastAsia="宋体" w:cs="宋体"/>
                <w:sz w:val="24"/>
                <w:szCs w:val="24"/>
                <w:bdr w:val="none" w:color="auto" w:sz="0" w:space="0"/>
              </w:rPr>
              <w:t>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中介服务收费</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标准及依据</w:t>
            </w:r>
            <w:r>
              <w:rPr>
                <w:rFonts w:hint="eastAsia" w:ascii="宋体" w:hAnsi="宋体" w:eastAsia="宋体" w:cs="宋体"/>
                <w:sz w:val="24"/>
                <w:szCs w:val="24"/>
                <w:bdr w:val="none" w:color="auto" w:sz="0" w:space="0"/>
              </w:rPr>
              <w:t>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中介服务收费承担对象</w:t>
            </w:r>
            <w:r>
              <w:rPr>
                <w:rFonts w:hint="eastAsia" w:ascii="宋体" w:hAnsi="宋体" w:eastAsia="宋体" w:cs="宋体"/>
                <w:sz w:val="24"/>
                <w:szCs w:val="24"/>
                <w:bdr w:val="none" w:color="auto" w:sz="0" w:space="0"/>
              </w:rPr>
              <w:t>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中介服务时限</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及依据</w:t>
            </w:r>
            <w:r>
              <w:rPr>
                <w:rFonts w:hint="eastAsia" w:ascii="宋体" w:hAnsi="宋体" w:eastAsia="宋体" w:cs="宋体"/>
                <w:sz w:val="24"/>
                <w:szCs w:val="24"/>
                <w:bdr w:val="none" w:color="auto" w:sz="0" w:space="0"/>
              </w:rPr>
              <w:t>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备注</w:t>
            </w: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水域滩涂养殖证的核发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仙游县农业农村局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养殖水域、滩涂界至图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具有测绘资质机构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《水域滩涂养殖发证登记办法》(农业部令2010年第9号)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第五条使用国家所有的水域、滩涂从事养殖生产的，应当向县级以上地方人民政府渔业行政主管部门提出申请，并提交以下材料：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（三）依法应当提交的其他证明材料。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中华人民共和国农业部公告》第1408号附件2《水域滩涂养殖发证申请书》文书格式要求，申请人应同时提交的第二项内容：使用国家所有的水域、滩涂从事养殖的，应提交一式三份具有测绘资质机构出具的水域、滩涂界至图一份，粘贴此页上（加盖骑缝章），当地个人申请使用水域、滩涂面积在3公顷（含3公顷）以下的，可以用手工绘制图；使用集体所有的水域、滩涂从事养殖的，应提交承包经营合同原件（核对后退回）及复印件三份。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水产苗种生产许可证核发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仙游县农业农村局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有资质的水质检测部门出具的育苗场水质检测报告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有资质的水质检测部门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《水产苗种管理办法》（2005年农业部令第46号）第十二条 从事水产苗种生产的单位和个人应当具备下列条件:</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(一)有固定的生产场地、水源充足、水质符合渔业用水标准;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第十三条 申请从事水产苗种生产的单位和个人应当填写水产苗种生产申请表，并提交证明其符合本办法第十二条规定条件的材料。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渔业船员证书的考试、考核、发证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仙游县农业农村局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渔业船员培训证明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渔业船员训练培训机构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《中华人民共和国渔业船员管理办法》（2014年农业部令第4号）八条  申请渔业职务船员证书应当具备以下条件：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(五)完成相应的职务船员培训，在远洋渔业船舶上工作的驾驶和轮机人员，还应当接受远洋渔业专项培训。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《福建省物价局福建省财政厅关于核定海洋渔业职务船员培训收费标准的复函》（闽价费[2013]12号）附件：渔业船员专业训练培训费为理论648元，实操300元；考试费用为理论50元，实操100元。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1.取水许可申请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建设项目水资源论证报告书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《取水许可管理办法》（2008年水利部令第34号）第八条、 《取水许可和水资源费征收管理条例》（国务院令第460号）第十一条、《建设项目水资源论证管理办法》（水利部、国家发展计划委员会令第15号）第九条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生产建设项目水土保持方案审批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水土保持方案报告书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《中华人民共和国水土保持法》第二十五条第一款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水利基建项目初步设计文件审批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水利基建项目初步设计文件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1.《河道管理条例》（国务院令第3号）第十一条；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2.《国务院对确需保留的行政审批设定行政许可的决定》（国务院令第412号）第172项；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3.《福建省水法实施办法》（1992年福建省第七届人大常委会第三十次会议通过,1997年福建省第八届人大常委会第三十五次会议修改）第十七条。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7 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水利项目可行性研究报告行业审查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水利项目可行性研究报告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1.《河道管理条例》（国务院令第3号）第十一条；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2.《国务院对确需保留的行政审批设定行政许可的决定》（国务院令第412号）第172项；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3.《福建省水法实施办法》（1992年福建省第七届人大常委会第三十次会议通过,1997年福建省第八届人大常委会第三十五次会议修改）第十七条。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8 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水工程建设规划同意书审查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拟报批水工程的可行性研究报告或项目申请报告或备案材料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1.《中华人民共和国水法》第十九条；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2.《中华人民共和国防洪法》第十七条。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9 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河道管理范围内涉河工程建设方案及防洪影响评价审查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涉河工程建设方案及防洪评价报告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1.《中华人民共和国水法》第三十八条；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2.《中华人民共和国防洪法》第二十七条第一款、第三十三条第一款；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3.《中华人民共和国河道管理条例》(国务院令第3号)第十一条。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10 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占用农业灌溉水源、灌排工程设施审批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替代工程实施方案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《占用农业灌溉水源、灌排工程设施补偿办法》第六条、第八条第一款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11 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水库大坝安全鉴定意见审定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水库大坝安全评价报告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《福建省水库大坝安全管理规定（试行）》(闽政〔2009〕24号第五条第一款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12 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水利部门主管的水闸安全鉴定意见审定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水闸安全评价报告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《水闸安全鉴定管理办法》（水建管〔2008〕214号）第八条第一款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13 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农村集体经济组织修建水库批准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水库工程初步设计文件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《水利工程建设程序管理暂行规定》（水建〔1998〕16号）第七条第一款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14 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堤顶、戗台或坝顶兼作公路审批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堤顶、戗台或坝顶兼作公路建设方案及影响评价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《水库大坝安全管理条例》（国务院令第77号）第十六条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15 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滩涂围垦审批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滩涂围垦方案及影响评价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《福建省沿海滩涂围垦办法》（1996年福建省第八届人大常委会第二十一次会议通过）第十一条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16 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在大坝管理和保护范围内修建码头、鱼塘审查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在大坝管理和保护范围内修建码头、鱼塘工程建设方案及影响评价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《水库大坝安全管理条例》（国务院令第77号）第十七条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17 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围垦河道审查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河道围垦方案及影响论证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《中华人民共和国防洪法》第二十三条；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2.《中华人民共和国水法》第四十条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18 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核发《残疾人证》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县残联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残疾类别和等级的评定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具备残疾评定资质的医院或专业机构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中国残联、国家卫生计生委《中华人民共和国残疾人证管理办法》（残联发﹝2017﹞34号）: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第六条  中国残联、国家卫生计生委按照职责分工共同指导省、市、县级残联、卫生计生委做好残疾评定、残疾人证核发管理等工作。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各地以省（自治区、直辖市）为单位，由卫生计生委、残联等共同下文，指定本地区具备残疾评定资质的医院或专业机构，报中国残联备案。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县级残联负责残疾人证的申办受理、核发管理等工作。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县级残联按照省级卫生计生委和残联指定的医院或专业机构（以下简称指定机构）作出的残疾类别和残疾等级评定结论，核发残疾人证，并负责办证原始档案管理。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省级残联、地市级残联做好残疾人证核发、使用、管理等工作的指导和监督检查。省级残联和卫生计生委成立残疾评定专家委员会，负责受理残疾评定争议。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无法定时限,自主选择,双方协商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19 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出让国有建设用地使用权审核（含协议出让、挂牌出让）；划拨国有土地使用权审核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bottom"/>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20 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出让国有建设用地使用权审核（含协议出让、挂牌出让）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地价评估报告书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取得资质的有关机构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城镇土地估价规程》1.2：规程适用范围本规程适用于城市规划区范围内建设用地的“基准地价”和“宗地地价”评估。独立工矿区、城市规划区外的成片开发区和国家重点基础设施建设用地、农村乡镇企业建设用地的土地估价也适用本规程。本规程所称城市，是指国家按行政建制设立的直辖市、市、镇。1.3：从事土地估价的基本规定城市基准地价评估由事业型评估单位和具有评估资格的市场中介评估机构评估，土地估价师不得少于７名。宗地地价评估由具有评估资格的市场中介机构评估，土地估价师不得少于２名。1.6：土地估价的法律依据土地估价除应符合本规程外，还应符合国家现行有关标准、规范的规定。 2、《国土资源部关于改革土地估价结果确认和土地资产处置审批办法的通知》（国土资发[2001]44号）。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bottom"/>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21 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采矿权新设立、变更登记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环境影响评价报告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取得资质的有关机构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《矿产资源开采登记管理办法》第五条  采矿权申请人申请办理采矿许可证时，应当向登记管理机关提交下列资料：（五）开采矿产资源的环境影响评价报告；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完成报告编制大约45天，评审至提交正式报告大约25天。 </w:t>
            </w:r>
          </w:p>
        </w:tc>
        <w:tc>
          <w:tcPr>
            <w:tcW w:w="750" w:type="dxa"/>
            <w:shd w:val="clear"/>
            <w:vAlign w:val="bottom"/>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22 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不动产登记首次登记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测绘成果 </w:t>
            </w:r>
          </w:p>
        </w:tc>
        <w:tc>
          <w:tcPr>
            <w:tcW w:w="1105"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测绘公司 </w:t>
            </w:r>
          </w:p>
        </w:tc>
        <w:tc>
          <w:tcPr>
            <w:tcW w:w="5522"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1、《不动产登记暂行条例》2、《不动产登记操作规范》3、《不动产权籍调查技术方案（试行）》 </w:t>
            </w:r>
          </w:p>
        </w:tc>
        <w:tc>
          <w:tcPr>
            <w:tcW w:w="1487"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双方自行约定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23 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不动产登记变更登记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vMerge w:val="continue"/>
            <w:shd w:val="clear"/>
            <w:vAlign w:val="center"/>
          </w:tcPr>
          <w:p>
            <w:pPr>
              <w:rPr>
                <w:rFonts w:hint="eastAsia" w:ascii="宋体" w:hAnsi="宋体" w:eastAsia="宋体" w:cs="宋体"/>
                <w:sz w:val="24"/>
                <w:szCs w:val="24"/>
              </w:rPr>
            </w:pP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测绘成果 </w:t>
            </w:r>
          </w:p>
        </w:tc>
        <w:tc>
          <w:tcPr>
            <w:tcW w:w="1105" w:type="dxa"/>
            <w:vMerge w:val="continue"/>
            <w:shd w:val="clear"/>
            <w:vAlign w:val="center"/>
          </w:tcPr>
          <w:p>
            <w:pPr>
              <w:rPr>
                <w:rFonts w:hint="eastAsia" w:ascii="宋体" w:hAnsi="宋体" w:eastAsia="宋体" w:cs="宋体"/>
                <w:sz w:val="24"/>
                <w:szCs w:val="24"/>
              </w:rPr>
            </w:pPr>
          </w:p>
        </w:tc>
        <w:tc>
          <w:tcPr>
            <w:tcW w:w="5522" w:type="dxa"/>
            <w:vMerge w:val="continue"/>
            <w:shd w:val="clear"/>
            <w:vAlign w:val="center"/>
          </w:tcPr>
          <w:p>
            <w:pPr>
              <w:rPr>
                <w:rFonts w:hint="eastAsia" w:ascii="宋体" w:hAnsi="宋体" w:eastAsia="宋体" w:cs="宋体"/>
                <w:sz w:val="24"/>
                <w:szCs w:val="24"/>
              </w:rPr>
            </w:pPr>
          </w:p>
        </w:tc>
        <w:tc>
          <w:tcPr>
            <w:tcW w:w="1487" w:type="dxa"/>
            <w:vMerge w:val="continue"/>
            <w:shd w:val="clear"/>
            <w:vAlign w:val="center"/>
          </w:tcPr>
          <w:p>
            <w:pPr>
              <w:rPr>
                <w:rFonts w:hint="eastAsia" w:ascii="宋体" w:hAnsi="宋体" w:eastAsia="宋体" w:cs="宋体"/>
                <w:sz w:val="24"/>
                <w:szCs w:val="24"/>
              </w:rPr>
            </w:pP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vMerge w:val="continue"/>
            <w:shd w:val="clear"/>
            <w:vAlign w:val="center"/>
          </w:tcPr>
          <w:p>
            <w:pPr>
              <w:rPr>
                <w:rFonts w:hint="eastAsia" w:ascii="宋体" w:hAnsi="宋体" w:eastAsia="宋体" w:cs="宋体"/>
                <w:sz w:val="24"/>
                <w:szCs w:val="24"/>
              </w:rPr>
            </w:pP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24 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不动产登记转移登记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vMerge w:val="continue"/>
            <w:shd w:val="clear"/>
            <w:vAlign w:val="center"/>
          </w:tcPr>
          <w:p>
            <w:pPr>
              <w:rPr>
                <w:rFonts w:hint="eastAsia" w:ascii="宋体" w:hAnsi="宋体" w:eastAsia="宋体" w:cs="宋体"/>
                <w:sz w:val="24"/>
                <w:szCs w:val="24"/>
              </w:rPr>
            </w:pP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测绘成果 </w:t>
            </w:r>
          </w:p>
        </w:tc>
        <w:tc>
          <w:tcPr>
            <w:tcW w:w="1105" w:type="dxa"/>
            <w:vMerge w:val="continue"/>
            <w:shd w:val="clear"/>
            <w:vAlign w:val="center"/>
          </w:tcPr>
          <w:p>
            <w:pPr>
              <w:rPr>
                <w:rFonts w:hint="eastAsia" w:ascii="宋体" w:hAnsi="宋体" w:eastAsia="宋体" w:cs="宋体"/>
                <w:sz w:val="24"/>
                <w:szCs w:val="24"/>
              </w:rPr>
            </w:pPr>
          </w:p>
        </w:tc>
        <w:tc>
          <w:tcPr>
            <w:tcW w:w="5522" w:type="dxa"/>
            <w:vMerge w:val="continue"/>
            <w:shd w:val="clear"/>
            <w:vAlign w:val="center"/>
          </w:tcPr>
          <w:p>
            <w:pPr>
              <w:rPr>
                <w:rFonts w:hint="eastAsia" w:ascii="宋体" w:hAnsi="宋体" w:eastAsia="宋体" w:cs="宋体"/>
                <w:sz w:val="24"/>
                <w:szCs w:val="24"/>
              </w:rPr>
            </w:pPr>
          </w:p>
        </w:tc>
        <w:tc>
          <w:tcPr>
            <w:tcW w:w="1487" w:type="dxa"/>
            <w:vMerge w:val="continue"/>
            <w:shd w:val="clear"/>
            <w:vAlign w:val="center"/>
          </w:tcPr>
          <w:p>
            <w:pPr>
              <w:rPr>
                <w:rFonts w:hint="eastAsia" w:ascii="宋体" w:hAnsi="宋体" w:eastAsia="宋体" w:cs="宋体"/>
                <w:sz w:val="24"/>
                <w:szCs w:val="24"/>
              </w:rPr>
            </w:pP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vMerge w:val="continue"/>
            <w:shd w:val="clear"/>
            <w:vAlign w:val="center"/>
          </w:tcPr>
          <w:p>
            <w:pPr>
              <w:rPr>
                <w:rFonts w:hint="eastAsia" w:ascii="宋体" w:hAnsi="宋体" w:eastAsia="宋体" w:cs="宋体"/>
                <w:sz w:val="24"/>
                <w:szCs w:val="24"/>
              </w:rPr>
            </w:pP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25 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临时用地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26 </w:t>
            </w:r>
          </w:p>
        </w:tc>
        <w:tc>
          <w:tcPr>
            <w:tcW w:w="820"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以国家作价出资方式处置土地资产的审核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27 </w:t>
            </w:r>
          </w:p>
        </w:tc>
        <w:tc>
          <w:tcPr>
            <w:tcW w:w="820" w:type="dxa"/>
            <w:vMerge w:val="continue"/>
            <w:shd w:val="clear"/>
            <w:vAlign w:val="center"/>
          </w:tcPr>
          <w:p>
            <w:pPr>
              <w:rPr>
                <w:rFonts w:hint="eastAsia" w:ascii="宋体" w:hAnsi="宋体" w:eastAsia="宋体" w:cs="宋体"/>
                <w:sz w:val="24"/>
                <w:szCs w:val="24"/>
              </w:rPr>
            </w:pP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886" w:type="dxa"/>
            <w:vMerge w:val="continue"/>
            <w:shd w:val="clear"/>
            <w:vAlign w:val="center"/>
          </w:tcPr>
          <w:p>
            <w:pPr>
              <w:rPr>
                <w:rFonts w:hint="eastAsia" w:ascii="宋体" w:hAnsi="宋体" w:eastAsia="宋体" w:cs="宋体"/>
                <w:sz w:val="24"/>
                <w:szCs w:val="24"/>
              </w:rPr>
            </w:pP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地价评估报告书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取得资质的有关机构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城镇土地估价规程》1.2：规程适用范围本规程适用于城市规划区范围内建设用地的“基准地价”和“宗地地价”评估。独立工矿区、城市规划区外的成片开发区和国家重点基础设施建设用地、农村乡镇企业建设用地的土地估价也适用本规程。本规程所称城市，是指国家按行政建制设立的直辖市、市、镇。1.3：从事土地估价的基本规定城市基准地价评估由事业型评估单位和具有评估资格的市场中介评估机构评估，土地估价师不得少于７名。宗地地价评估由具有评估资格的市场中介机构评估，土地估价师不得少于２名。1.6：土地估价的法律依据土地估价除应符合本规程外，还应符合国家现行有关标准、规范的规定。 2、《国土资源部关于改革土地估价结果确认和土地资产处置审批办法的通知》（国土资发[2001]44号）。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28 </w:t>
            </w:r>
          </w:p>
        </w:tc>
        <w:tc>
          <w:tcPr>
            <w:tcW w:w="820"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以国家入股方式处置土地资产的审核 </w:t>
            </w:r>
          </w:p>
        </w:tc>
        <w:tc>
          <w:tcPr>
            <w:tcW w:w="723"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29 </w:t>
            </w:r>
          </w:p>
        </w:tc>
        <w:tc>
          <w:tcPr>
            <w:tcW w:w="820" w:type="dxa"/>
            <w:vMerge w:val="continue"/>
            <w:shd w:val="clear"/>
            <w:vAlign w:val="center"/>
          </w:tcPr>
          <w:p>
            <w:pPr>
              <w:rPr>
                <w:rFonts w:hint="eastAsia" w:ascii="宋体" w:hAnsi="宋体" w:eastAsia="宋体" w:cs="宋体"/>
                <w:sz w:val="24"/>
                <w:szCs w:val="24"/>
              </w:rPr>
            </w:pPr>
          </w:p>
        </w:tc>
        <w:tc>
          <w:tcPr>
            <w:tcW w:w="723" w:type="dxa"/>
            <w:vMerge w:val="continue"/>
            <w:shd w:val="clear"/>
            <w:vAlign w:val="center"/>
          </w:tcPr>
          <w:p>
            <w:pPr>
              <w:rPr>
                <w:rFonts w:hint="eastAsia" w:ascii="宋体" w:hAnsi="宋体" w:eastAsia="宋体" w:cs="宋体"/>
                <w:sz w:val="24"/>
                <w:szCs w:val="24"/>
              </w:rPr>
            </w:pPr>
          </w:p>
        </w:tc>
        <w:tc>
          <w:tcPr>
            <w:tcW w:w="886" w:type="dxa"/>
            <w:vMerge w:val="continue"/>
            <w:shd w:val="clear"/>
            <w:vAlign w:val="center"/>
          </w:tcPr>
          <w:p>
            <w:pPr>
              <w:rPr>
                <w:rFonts w:hint="eastAsia" w:ascii="宋体" w:hAnsi="宋体" w:eastAsia="宋体" w:cs="宋体"/>
                <w:sz w:val="24"/>
                <w:szCs w:val="24"/>
              </w:rPr>
            </w:pP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地价评估报告书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取得资质的有关机构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城镇土地估价规程》1.2：规程适用范围本规程适用于城市规划区范围内建设用地的“基准地价”和“宗地地价”评估。独立工矿区、城市规划区外的成片开发区和国家重点基础设施建设用地、农村乡镇企业建设用地的土地估价也适用本规程。本规程所称城市，是指国家按行政建制设立的直辖市、市、镇。1.3：从事土地估价的基本规定城市基准地价评估由事业型评估单位和具有评估资格的市场中介评估机构评估，土地估价师不得少于７名。宗地地价评估由具有评估资格的市场中介机构评估，土地估价师不得少于２名。1.6：土地估价的法律依据土地估价除应符合本规程外，还应符合国家现行有关标准、规范的规定。 2、《国土资源部关于改革土地估价结果确认和土地资产处置审批办法的通知》（国土资发[2001]44号）。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30 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划拨国有土地使用权审核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31 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建设项目使用国有未利用土地审核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32 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农村村民住宅用地（包括住宅小区）审核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33 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雷电防护装置设计审核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仙游县气象局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雷电防护装置设计技术评价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事业单位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1.《气象灾害防御条例》（国务院令第570号）第二十三条 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2.《防雷装置设计审核和竣工验收规定》（中国气象局 第21号令） 第九条　申请防雷装置施工图设计审核应当提交以下材料： （五）经当地气象主管机构认可的防雷专业技术机构出具的防雷装置设计技术评价报告。第十六条　防雷装置竣工验收应当提交以下材料：（四）取得防雷装置检测资质的单位出具的《防雷装置检测报告》。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不收费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政府购买服务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17个工作日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34 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雷电防护装置竣工验收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仙游县气象局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雷电防护装置竣工验收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事业单位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1.《气象灾害防御条例》（国务院令第570号）第二十三条 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2.《防雷装置设计审核和竣工验收规定》（中国气象局 第21号令） 第九条　申请防雷装置施工图设计审核应当提交以下材料： （五）经当地气象主管机构认可的防雷专业技术机构出具的防雷装置设计技术评价报告。第十六条　防雷装置竣工验收应当提交以下材料：（四）取得防雷装置检测资质的单位出具的《防雷装置检测报告》。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不收费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政府购买服务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20个工作日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在自然保护区建设项目使用林地审批（省级自然保护区）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36 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在自然保护区建设项目使用林地审批（国家级自然保护区）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37 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勘查、开采矿藏和各项建设工程占用或者征收、征用林地审批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38 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勘查、开采矿藏和各项建设工程占用或者征收、征用林地初审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39 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勘查、开采矿藏和各项建设工程占用或者征收、征用林地变更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40 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临时占用林地审批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41 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临时占用林地初审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42 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临时占用林地变更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43 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森林经营单位修筑直接为林业生产服务的工程设施占用林地审批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44 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森林经营单位修筑直接为林业生产服务的工程设施占用林地初审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45 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森林经营单位修筑直接为林业生产服务的工程设施占用林地变更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46 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珍贵树木（含名木古树）采伐初审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县级林业主管部门、福建省林业局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县级林业主管部门、福建省林业局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伐区调查设计文件编制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1.《森林法》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第三十四条　国有林业企业事业单位申请采伐许可证时，必须提出伐区调查设计文件。其他单位申请采伐许可证时，必须提出有关采伐的目的、地点、林种、林况、面积、蓄积、方式和更新措施等内容的文件。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对伐区作业不符合规定的单位，发放采伐许可证的部门有权收缴采伐许可证，中止其采伐，直到纠正为止。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2.《森林法实施条例》（国务院令第278号）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第三十条第一款  申请林木采伐许可证，除应当提交申请采伐林木所有权证书或者使用权证书外，还应当按照下列规定提交其他有关证明文件：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（一）国有林业企业事业单位还应当提交伐区调查设计文件和上年度来代更新验收征明。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3.《福建省森林条例》（2001年福建省第九届个人、单位、企业人民代表大会常务委员会第二十八次会议通过）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第二十六条第一款　伐区调查设计和木材检验，应当委托具有相应资质等级的机构承担。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莆田市物价局关于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林业中介服务收费标准的通知（莆市价[2017]25号）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47 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公益林抚育或更新采伐初审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伐区调查设计文件编制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1.《森林法》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第三十四条　国有林业企业事业单位申请采伐许可证时，必须提出伐区调查设计文件。其他单位申请采伐许可证时，必须提出有关采伐的目的、地点、林种、林况、面积、蓄积、方式和更新措施等内容的文件。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对伐区作业不符合规定的单位，发放采伐许可证的部门有权收缴采伐许可证，中止其采伐，直到纠正为止。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2.《森林法实施条例》（国务院令第278号）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第三十条第一款  申请林木采伐许可证，除应当提交申请采伐林木所有权证书或者使用权证书外，还应当按照下列规定提交其他有关证明文件：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（一）国有林业企业事业单位还应当提交伐区调查设计文件和上年度来代更新验收征明。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3.《福建省森林条例》（2001年福建省第九届人民代表大会常务委员会第二十八次会议通过）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第二十六条第一款　伐区调查设计和木材检验，应当委托具有相应资质等级的机构承担。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莆田市物价局关于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林业中介服务收费标准的通知（莆市价[2017]25号）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48 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林木采伐许可证县级核发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伐区调查设计文件编制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1.《森林法》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第三十四条　国有林业企业事业单位申请采伐许可证时，必须提出伐区调查设计文件。其他单位申请采伐许可证时，必须提出有关采伐的目的、地点、林种、林况、面积、蓄积、方式和更新措施等内容的文件。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对伐区作业不符合规定的单位，发放采伐许可证的部门有权收缴采伐许可证，中止其采伐，直到纠正为止。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2.《森林法实施条例》（国务院令第278号）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第三十条第一款  申请林木采伐许可证，除应当提交申请采伐林木所有权证书或者使用权证书外，还应当按照下列规定提交其他有关证明文件：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（一）国有林业企业事业单位还应当提交伐区调查设计文件和上年度来代更新验收征明。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3.《福建省森林条例》（2001年福建省第九届人民代表大会常务委员会第二十八次会议通过）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第二十六条第一款　伐区调查设计和木材检验，应当委托具有相应资质等级的机构承担。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莆田市物价局关于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林业中介服务收费标准的通知（莆市价[2017]25号）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49 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木材运输证核发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木材检尺码单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《福建省森林条例》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第二十六条规定“伐区设计和木材检验，应当委托具有相应资质等级的机构承担。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莆田市物价局关于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林业中介服务收费标准的通知（莆市价[2017]25号）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即办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50 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可自行编制。</w:t>
            </w:r>
            <w:r>
              <w:rPr>
                <w:rFonts w:hint="eastAsia" w:ascii="宋体" w:hAnsi="宋体" w:eastAsia="宋体" w:cs="宋体"/>
                <w:sz w:val="24"/>
                <w:szCs w:val="24"/>
                <w:bdr w:val="none" w:color="auto" w:sz="0" w:space="0"/>
              </w:rPr>
              <w:t>注：根据生态环境部《建设项目环境影响报告书（表）编制监督管理办法》（部令9号）第二条建设单位可以委托技术单位对其建设项目开展环境影响评价，编制环境影响报告书（表）；建设单位具备环境影响评价技术能力的，可以自行对其建设项目开展环境影响评价，编制环境影响报告书（表）。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该办法自2019年11月1日起施行。2015年9月28日原环境保护部发布的《建设项目环境影响评价资质管理办法》(环境保护部令第36号)、2019年1月19日生态环境部发布的《关于取消建设项目环境影响评价资质行政许可事项后续相关工作要求的公告（暂行）》（生态环境部公告2019年第2号）同时废止。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51 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建设项目环境影响报告书重大变动重新审批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52 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53 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建设项目环境影响报告表重大变动重新审批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54 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企业强制性清洁生产审核评估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清洁生产审核评估报告委托编制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符合《清洁生产审核办法》（环境保护部令第38号）第十六条规定的机构。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《清洁生产审核办法》（环境保护部令2016年第38号）第十五条 清洁生产审核以企业自行组织开展为主。实施强制 性清洁生产审核的企业，如果自行独立组织开展清洁生产审核，应 具备本办法第十六条第（二）款、第（三）款的条件。 不具备独立开展清洁生产审核能力的企业，可以聘请外部专家 或委托具备相应能力的咨询服务机构协助开展清洁生产审核。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55 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企业强制性清洁生产审核验收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清洁生产审核验收报告委托编制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咨询服务机构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《清洁生产审核评估与验收指南》（环办科技〔2018〕5号）第十四条 《清洁生产审核验收报告》应由企业或委托咨询服务机构完成，其内容应当包括但不限于以下方面：（1）企业基本情况；（2）《清洁生产审核评估技术审查意见》的落实情况；（3）清洁生产中／高费方案完成情况及环境、经济效益汇总；（4）清洁生产目标实现情况及所达到的清洁生产水平；（5）持续开展清洁生产工作机制建设及运行情况。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56 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57 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建设项目环境影响报告书重大变动重新审批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58 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59 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建设项目环境影响报告表重大变动重新审批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60 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企业强制性清洁生产审核评估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清洁生产审核评估报告委托编制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符合《清洁生产审核办法》（环境保护部令第38号）第十六条规定的机构。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《清洁生产审核办法》（环境保护部令2016年第38号）第十五条 清洁生产审核以企业自行组织开展为主。实施强制 性清洁生产审核的企业，如果自行独立组织开展清洁生产审核，应 具备本办法第十六条第（二）款、第（三）款的条件。 不具备独立开展清洁生产审核能力的企业，可以聘请外部专家 或委托具备相应能力的咨询服务机构协助开展清洁生产审核。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61 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企业强制性清洁生产审核验收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清洁生产审核验收报告委托编制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咨询服务机构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《清洁生产审核评估与验收指南》（环办科技〔2018〕5号）第十四条 《清洁生产审核验收报告》应由企业或委托咨询服务机构完成，其内容应当包括但不限于以下方面：（1）企业基本情况；（2）《清洁生产审核评估技术审查意见》的落实情况；（3）清洁生产中／高费方案完成情况及环境、经济效益汇总；（4）清洁生产目标实现情况及所达到的清洁生产水平；（5）持续开展清洁生产工作机制建设及运行情况。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62 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固定资产投资项目节能评估和审查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县发改局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编制固定资产投资项目节能报告书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建设单位应编制固定资产投资项目节能报告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【法律】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《中华人民共和国节约能源法》 第十五条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【行政法规】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《公共机构节能条例》（国务院令第531号）第二十条   第二款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【地方性法规】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《福建省省节约能源条例》 第十六条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【部门规章】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《固定资产投资项目节能评估和审查办法》（2016年国家发展与改革委员会令第44号）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由项目申请与受托中介机构自行协商确定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由项目申请与受托中介机构自行协商确定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63 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政府出资的投资项目审批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县发改局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编制项目建议书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《国务院关于投资体制改革的决定》规定由具有相应资质的工程咨询机构编写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【国务院决定】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《国务院关于投资体制改革的决定》（国发〔2004〕20号）   第三（四）（五）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《中共中央、国务院关于深化投融资体制改革的意见》（中发〔2016〕18号）第三（七）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【规范性文件】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《中央预算内直接投资项目管理办法》（2014年国家发展改革委令第7号）第十一条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64 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政府出资的投资项目审批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县发改局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编制可行性研究报告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《国务院关于投资体制改革的决定》规定由具有相应资质的工程咨询机构编写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【国务院决定】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《国务院关于投资体制改革的决定》（国发〔2004〕20号）第三（四）、（五）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《中共中央、国务院关于深化投融资体制改革的意见》（中发〔2016〕18号）第三（七）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【规范性文件】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《中央预算内直接投资项目管理办法》（2014年国家发展改革委令第7号）第十六条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3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65 </w:t>
            </w:r>
          </w:p>
        </w:tc>
        <w:tc>
          <w:tcPr>
            <w:tcW w:w="82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政府出资的投资项目审批 </w:t>
            </w:r>
          </w:p>
        </w:tc>
        <w:tc>
          <w:tcPr>
            <w:tcW w:w="7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县发改局 </w:t>
            </w:r>
          </w:p>
        </w:tc>
        <w:tc>
          <w:tcPr>
            <w:tcW w:w="886"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部分主管部门 </w:t>
            </w:r>
          </w:p>
        </w:tc>
        <w:tc>
          <w:tcPr>
            <w:tcW w:w="1023"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编制初步设计及概算 </w:t>
            </w:r>
          </w:p>
        </w:tc>
        <w:tc>
          <w:tcPr>
            <w:tcW w:w="11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《国务院关于投资体制改革的决定》规定由具有相应资质的工程咨询机构编写 </w:t>
            </w:r>
          </w:p>
        </w:tc>
        <w:tc>
          <w:tcPr>
            <w:tcW w:w="5522"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【国务院决定】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《国务院关于投资体制改革的决定》（国发〔2004〕20号）   第三（四）、（五）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《中共中央、国务院关于深化投融资体制改革的意见》（中发〔2016〕18号）第三（七）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【规范性文件】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《中央预算内直接投资项目管理办法》（2014年国家发展改革委令第7号）第二十一条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487"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94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814"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75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bl>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注：1.审批事项名称应与省网上办事大厅审批事项名称一致；2.设定中介服务的依据填写相关法律法规及具体条款；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3.中介服务收费标准及依据，写明具体收费标准及文件依据；4.中介服务收费承担对象填写政府部门或企业；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5.中介服务时限及依据填写有关法律法规条款，无明确规定由双方协商的，填写双方协商；6.需要进一步明确的事项说明，请在备注栏注明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705475" cy="19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05475" cy="19050"/>
                    </a:xfrm>
                    <a:prstGeom prst="rect">
                      <a:avLst/>
                    </a:prstGeom>
                    <a:noFill/>
                    <a:ln w="9525">
                      <a:noFill/>
                    </a:ln>
                  </pic:spPr>
                </pic:pic>
              </a:graphicData>
            </a:graphic>
          </wp:inline>
        </w:drawing>
      </w: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705475" cy="190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705475" cy="19050"/>
                    </a:xfrm>
                    <a:prstGeom prst="rect">
                      <a:avLst/>
                    </a:prstGeom>
                    <a:noFill/>
                    <a:ln w="9525">
                      <a:noFill/>
                    </a:ln>
                  </pic:spPr>
                </pic:pic>
              </a:graphicData>
            </a:graphic>
          </wp:inline>
        </w:drawing>
      </w:r>
      <w:r>
        <w:rPr>
          <w:rFonts w:hint="eastAsia" w:ascii="宋体" w:hAnsi="宋体" w:eastAsia="宋体" w:cs="宋体"/>
          <w:sz w:val="24"/>
          <w:szCs w:val="24"/>
        </w:rPr>
        <w:t>  </w:t>
      </w:r>
      <w:r>
        <w:rPr>
          <w:rFonts w:ascii="仿宋_GB2312" w:hAnsi="宋体" w:eastAsia="仿宋_GB2312" w:cs="仿宋_GB2312"/>
          <w:sz w:val="24"/>
          <w:szCs w:val="24"/>
        </w:rPr>
        <w:t>抄送：市审改办、县行政服务中心管委会。</w:t>
      </w: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705475" cy="190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5705475" cy="19050"/>
                    </a:xfrm>
                    <a:prstGeom prst="rect">
                      <a:avLst/>
                    </a:prstGeom>
                    <a:noFill/>
                    <a:ln w="9525">
                      <a:noFill/>
                    </a:ln>
                  </pic:spPr>
                </pic:pic>
              </a:graphicData>
            </a:graphic>
          </wp:inline>
        </w:drawing>
      </w:r>
      <w:r>
        <w:rPr>
          <w:rFonts w:hint="eastAsia" w:ascii="宋体" w:hAnsi="宋体" w:eastAsia="宋体" w:cs="宋体"/>
          <w:sz w:val="24"/>
          <w:szCs w:val="24"/>
        </w:rPr>
        <w:t>  </w:t>
      </w:r>
      <w:r>
        <w:rPr>
          <w:rFonts w:hint="default" w:ascii="仿宋_GB2312" w:hAnsi="宋体" w:eastAsia="仿宋_GB2312" w:cs="仿宋_GB2312"/>
          <w:sz w:val="24"/>
          <w:szCs w:val="24"/>
        </w:rPr>
        <w:t>仙游县行政审批制度改革工作领导小组办公室</w:t>
      </w:r>
      <w:r>
        <w:rPr>
          <w:rFonts w:hint="eastAsia" w:ascii="宋体" w:hAnsi="宋体" w:eastAsia="宋体" w:cs="宋体"/>
          <w:sz w:val="24"/>
          <w:szCs w:val="24"/>
        </w:rPr>
        <w:t xml:space="preserve">  2019</w:t>
      </w:r>
      <w:r>
        <w:rPr>
          <w:rFonts w:hint="default" w:ascii="仿宋_GB2312" w:hAnsi="宋体" w:eastAsia="仿宋_GB2312" w:cs="仿宋_GB2312"/>
          <w:sz w:val="24"/>
          <w:szCs w:val="24"/>
        </w:rPr>
        <w:t>年</w:t>
      </w:r>
      <w:r>
        <w:rPr>
          <w:rFonts w:hint="eastAsia" w:ascii="宋体" w:hAnsi="宋体" w:eastAsia="宋体" w:cs="宋体"/>
          <w:sz w:val="24"/>
          <w:szCs w:val="24"/>
        </w:rPr>
        <w:t>9</w:t>
      </w:r>
      <w:r>
        <w:rPr>
          <w:rFonts w:hint="default" w:ascii="仿宋_GB2312" w:hAnsi="宋体" w:eastAsia="仿宋_GB2312" w:cs="仿宋_GB2312"/>
          <w:sz w:val="24"/>
          <w:szCs w:val="24"/>
        </w:rPr>
        <w:t>月</w:t>
      </w:r>
      <w:r>
        <w:rPr>
          <w:rFonts w:hint="eastAsia" w:ascii="宋体" w:hAnsi="宋体" w:eastAsia="宋体" w:cs="宋体"/>
          <w:sz w:val="24"/>
          <w:szCs w:val="24"/>
        </w:rPr>
        <w:t>29</w:t>
      </w:r>
      <w:r>
        <w:rPr>
          <w:rFonts w:hint="default" w:ascii="仿宋_GB2312" w:hAnsi="宋体" w:eastAsia="仿宋_GB2312" w:cs="仿宋_GB2312"/>
          <w:sz w:val="24"/>
          <w:szCs w:val="24"/>
        </w:rPr>
        <w:t>日印发</w:t>
      </w:r>
      <w:r>
        <w:rPr>
          <w:rFonts w:hint="eastAsia" w:ascii="宋体" w:hAnsi="宋体" w:eastAsia="宋体" w:cs="宋体"/>
          <w:sz w:val="24"/>
          <w:szCs w:val="24"/>
        </w:rPr>
        <w:t> </w:t>
      </w:r>
    </w:p>
    <w:p>
      <w:pPr>
        <w:keepNext w:val="0"/>
        <w:keepLines w:val="0"/>
        <w:widowControl/>
        <w:suppressLineNumbers w:val="0"/>
        <w:spacing w:before="0" w:beforeAutospacing="0" w:after="0" w:afterAutospacing="0"/>
        <w:jc w:val="left"/>
      </w:pPr>
      <w:r>
        <w:rPr>
          <w:rFonts w:hint="eastAsia" w:ascii="宋体" w:hAnsi="宋体" w:eastAsia="宋体" w:cs="宋体"/>
          <w:kern w:val="0"/>
          <w:sz w:val="24"/>
          <w:szCs w:val="24"/>
          <w:lang w:val="en-US" w:eastAsia="zh-CN" w:bidi="ar"/>
        </w:rPr>
        <w:t xml:space="preserve">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r>
        <w:rPr>
          <w:rFonts w:ascii="黑体" w:hAnsi="宋体" w:eastAsia="黑体" w:cs="黑体"/>
          <w:sz w:val="24"/>
          <w:szCs w:val="24"/>
        </w:rPr>
        <w:t>附件</w:t>
      </w: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r>
        <w:rPr>
          <w:rFonts w:hint="default" w:ascii="方正小标宋简体" w:hAnsi="方正小标宋简体" w:eastAsia="方正小标宋简体" w:cs="方正小标宋简体"/>
          <w:sz w:val="24"/>
          <w:szCs w:val="24"/>
        </w:rPr>
        <w:t>仙游县行政审批中介服务事项目录（</w:t>
      </w:r>
      <w:r>
        <w:rPr>
          <w:rFonts w:hint="eastAsia" w:ascii="宋体" w:hAnsi="宋体" w:eastAsia="宋体" w:cs="宋体"/>
          <w:sz w:val="24"/>
          <w:szCs w:val="24"/>
        </w:rPr>
        <w:t>65</w:t>
      </w:r>
      <w:r>
        <w:rPr>
          <w:rFonts w:hint="default" w:ascii="方正小标宋简体" w:hAnsi="方正小标宋简体" w:eastAsia="方正小标宋简体" w:cs="方正小标宋简体"/>
          <w:sz w:val="24"/>
          <w:szCs w:val="24"/>
        </w:rPr>
        <w:t>项）</w:t>
      </w: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72"/>
        <w:gridCol w:w="378"/>
        <w:gridCol w:w="272"/>
        <w:gridCol w:w="272"/>
        <w:gridCol w:w="378"/>
        <w:gridCol w:w="378"/>
        <w:gridCol w:w="10077"/>
        <w:gridCol w:w="484"/>
        <w:gridCol w:w="272"/>
        <w:gridCol w:w="379"/>
        <w:gridCol w:w="8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序号</w:t>
            </w:r>
            <w:r>
              <w:rPr>
                <w:rFonts w:hint="eastAsia" w:ascii="宋体" w:hAnsi="宋体" w:eastAsia="宋体" w:cs="宋体"/>
                <w:sz w:val="24"/>
                <w:szCs w:val="24"/>
                <w:bdr w:val="none" w:color="auto" w:sz="0" w:space="0"/>
              </w:rPr>
              <w:t>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审批事</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项名称</w:t>
            </w:r>
            <w:r>
              <w:rPr>
                <w:rFonts w:hint="eastAsia" w:ascii="宋体" w:hAnsi="宋体" w:eastAsia="宋体" w:cs="宋体"/>
                <w:sz w:val="24"/>
                <w:szCs w:val="24"/>
                <w:bdr w:val="none" w:color="auto" w:sz="0" w:space="0"/>
              </w:rPr>
              <w:t>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实施</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部门</w:t>
            </w:r>
            <w:r>
              <w:rPr>
                <w:rFonts w:hint="eastAsia" w:ascii="宋体" w:hAnsi="宋体" w:eastAsia="宋体" w:cs="宋体"/>
                <w:sz w:val="24"/>
                <w:szCs w:val="24"/>
                <w:bdr w:val="none" w:color="auto" w:sz="0" w:space="0"/>
              </w:rPr>
              <w:t>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共同实</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施部门</w:t>
            </w: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中介服务事项名称</w:t>
            </w:r>
            <w:r>
              <w:rPr>
                <w:rFonts w:hint="eastAsia" w:ascii="宋体" w:hAnsi="宋体" w:eastAsia="宋体" w:cs="宋体"/>
                <w:sz w:val="24"/>
                <w:szCs w:val="24"/>
                <w:bdr w:val="none" w:color="auto" w:sz="0" w:space="0"/>
              </w:rPr>
              <w:t>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机构类型</w:t>
            </w:r>
            <w:r>
              <w:rPr>
                <w:rFonts w:hint="eastAsia" w:ascii="宋体" w:hAnsi="宋体" w:eastAsia="宋体" w:cs="宋体"/>
                <w:sz w:val="24"/>
                <w:szCs w:val="24"/>
                <w:bdr w:val="none" w:color="auto" w:sz="0" w:space="0"/>
              </w:rPr>
              <w:t>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设定中介服务的依据</w:t>
            </w:r>
            <w:r>
              <w:rPr>
                <w:rFonts w:hint="eastAsia" w:ascii="宋体" w:hAnsi="宋体" w:eastAsia="宋体" w:cs="宋体"/>
                <w:sz w:val="24"/>
                <w:szCs w:val="24"/>
                <w:bdr w:val="none" w:color="auto" w:sz="0" w:space="0"/>
              </w:rPr>
              <w:t>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中介服务收费</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标准及依据</w:t>
            </w:r>
            <w:r>
              <w:rPr>
                <w:rFonts w:hint="eastAsia" w:ascii="宋体" w:hAnsi="宋体" w:eastAsia="宋体" w:cs="宋体"/>
                <w:sz w:val="24"/>
                <w:szCs w:val="24"/>
                <w:bdr w:val="none" w:color="auto" w:sz="0" w:space="0"/>
              </w:rPr>
              <w:t>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中介服务收费承担对象</w:t>
            </w:r>
            <w:r>
              <w:rPr>
                <w:rFonts w:hint="eastAsia" w:ascii="宋体" w:hAnsi="宋体" w:eastAsia="宋体" w:cs="宋体"/>
                <w:sz w:val="24"/>
                <w:szCs w:val="24"/>
                <w:bdr w:val="none" w:color="auto" w:sz="0" w:space="0"/>
              </w:rPr>
              <w:t>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中介服务时限</w:t>
            </w: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及依据</w:t>
            </w:r>
            <w:r>
              <w:rPr>
                <w:rFonts w:hint="eastAsia" w:ascii="宋体" w:hAnsi="宋体" w:eastAsia="宋体" w:cs="宋体"/>
                <w:sz w:val="24"/>
                <w:szCs w:val="24"/>
                <w:bdr w:val="none" w:color="auto" w:sz="0" w:space="0"/>
              </w:rPr>
              <w:t>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备注</w:t>
            </w: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水域滩涂养殖证的核发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仙游县农业农村局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养殖水域、滩涂界至图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具有测绘资质机构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《水域滩涂养殖发证登记办法》(农业部令2010年第9号)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第五条使用国家所有的水域、滩涂从事养殖生产的，应当向县级以上地方人民政府渔业行政主管部门提出申请，并提交以下材料：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（三）依法应当提交的其他证明材料。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中华人民共和国农业部公告》第1408号附件2《水域滩涂养殖发证申请书》文书格式要求，申请人应同时提交的第二项内容：使用国家所有的水域、滩涂从事养殖的，应提交一式三份具有测绘资质机构出具的水域、滩涂界至图一份，粘贴此页上（加盖骑缝章），当地个人申请使用水域、滩涂面积在3公顷（含3公顷）以下的，可以用手工绘制图；使用集体所有的水域、滩涂从事养殖的，应提交承包经营合同原件（核对后退回）及复印件三份。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水产苗种生产许可证核发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仙游县农业农村局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有资质的水质检测部门出具的育苗场水质检测报告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有资质的水质检测部门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《水产苗种管理办法》（2005年农业部令第46号）第十二条 从事水产苗种生产的单位和个人应当具备下列条件:</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(一)有固定的生产场地、水源充足、水质符合渔业用水标准;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第十三条 申请从事水产苗种生产的单位和个人应当填写水产苗种生产申请表，并提交证明其符合本办法第十二条规定条件的材料。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渔业船员证书的考试、考核、发证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仙游县农业农村局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渔业船员培训证明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渔业船员训练培训机构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《中华人民共和国渔业船员管理办法》（2014年农业部令第4号）八条  申请渔业职务船员证书应当具备以下条件：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(五)完成相应的职务船员培训，在远洋渔业船舶上工作的驾驶和轮机人员，还应当接受远洋渔业专项培训。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《福建省物价局福建省财政厅关于核定海洋渔业职务船员培训收费标准的复函》（闽价费[2013]12号）附件：渔业船员专业训练培训费为理论648元，实操300元；考试费用为理论50元，实操100元。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1.取水许可申请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建设项目水资源论证报告书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《取水许可管理办法》（2008年水利部令第34号）第八条、 《取水许可和水资源费征收管理条例》（国务院令第460号）第十一条、《建设项目水资源论证管理办法》（水利部、国家发展计划委员会令第15号）第九条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生产建设项目水土保持方案审批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水土保持方案报告书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《中华人民共和国水土保持法》第二十五条第一款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水利基建项目初步设计文件审批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水利基建项目初步设计文件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1.《河道管理条例》（国务院令第3号）第十一条；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2.《国务院对确需保留的行政审批设定行政许可的决定》（国务院令第412号）第172项；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3.《福建省水法实施办法》（1992年福建省第七届人大常委会第三十次会议通过,1997年福建省第八届人大常委会第三十五次会议修改）第十七条。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7 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水利项目可行性研究报告行业审查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水利项目可行性研究报告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1.《河道管理条例》（国务院令第3号）第十一条；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2.《国务院对确需保留的行政审批设定行政许可的决定》（国务院令第412号）第172项；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3.《福建省水法实施办法》（1992年福建省第七届人大常委会第三十次会议通过,1997年福建省第八届人大常委会第三十五次会议修改）第十七条。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8 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水工程建设规划同意书审查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拟报批水工程的可行性研究报告或项目申请报告或备案材料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1.《中华人民共和国水法》第十九条；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2.《中华人民共和国防洪法》第十七条。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9 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河道管理范围内涉河工程建设方案及防洪影响评价审查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涉河工程建设方案及防洪评价报告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1.《中华人民共和国水法》第三十八条；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2.《中华人民共和国防洪法》第二十七条第一款、第三十三条第一款；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3.《中华人民共和国河道管理条例》(国务院令第3号)第十一条。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10 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占用农业灌溉水源、灌排工程设施审批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替代工程实施方案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《占用农业灌溉水源、灌排工程设施补偿办法》第六条、第八条第一款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11 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水库大坝安全鉴定意见审定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水库大坝安全评价报告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《福建省水库大坝安全管理规定（试行）》(闽政〔2009〕24号第五条第一款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12 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水利部门主管的水闸安全鉴定意见审定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水闸安全评价报告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《水闸安全鉴定管理办法》（水建管〔2008〕214号）第八条第一款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13 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农村集体经济组织修建水库批准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水库工程初步设计文件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《水利工程建设程序管理暂行规定》（水建〔1998〕16号）第七条第一款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14 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堤顶、戗台或坝顶兼作公路审批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堤顶、戗台或坝顶兼作公路建设方案及影响评价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《水库大坝安全管理条例》（国务院令第77号）第十六条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15 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滩涂围垦审批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滩涂围垦方案及影响评价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《福建省沿海滩涂围垦办法》（1996年福建省第八届人大常委会第二十一次会议通过）第十一条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16 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在大坝管理和保护范围内修建码头、鱼塘审查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在大坝管理和保护范围内修建码头、鱼塘工程建设方案及影响评价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《水库大坝安全管理条例》（国务院令第77号）第十七条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17 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围垦河道审查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仙游县水利局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河道围垦方案及影响论证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《中华人民共和国防洪法》第二十三条；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2.《中华人民共和国水法》第四十条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不收取中介服务费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18 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核发《残疾人证》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县残联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残疾类别和等级的评定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具备残疾评定资质的医院或专业机构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中国残联、国家卫生计生委《中华人民共和国残疾人证管理办法》（残联发﹝2017﹞34号）: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第六条  中国残联、国家卫生计生委按照职责分工共同指导省、市、县级残联、卫生计生委做好残疾评定、残疾人证核发管理等工作。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各地以省（自治区、直辖市）为单位，由卫生计生委、残联等共同下文，指定本地区具备残疾评定资质的医院或专业机构，报中国残联备案。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县级残联负责残疾人证的申办受理、核发管理等工作。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县级残联按照省级卫生计生委和残联指定的医院或专业机构（以下简称指定机构）作出的残疾类别和残疾等级评定结论，核发残疾人证，并负责办证原始档案管理。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省级残联、地市级残联做好残疾人证核发、使用、管理等工作的指导和监督检查。省级残联和卫生计生委成立残疾评定专家委员会，负责受理残疾评定争议。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无法定时限,自主选择,双方协商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19 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出让国有建设用地使用权审核（含协议出让、挂牌出让）；划拨国有土地使用权审核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bottom"/>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20 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出让国有建设用地使用权审核（含协议出让、挂牌出让）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地价评估报告书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取得资质的有关机构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城镇土地估价规程》1.2：规程适用范围本规程适用于城市规划区范围内建设用地的“基准地价”和“宗地地价”评估。独立工矿区、城市规划区外的成片开发区和国家重点基础设施建设用地、农村乡镇企业建设用地的土地估价也适用本规程。本规程所称城市，是指国家按行政建制设立的直辖市、市、镇。1.3：从事土地估价的基本规定城市基准地价评估由事业型评估单位和具有评估资格的市场中介评估机构评估，土地估价师不得少于７名。宗地地价评估由具有评估资格的市场中介机构评估，土地估价师不得少于２名。1.6：土地估价的法律依据土地估价除应符合本规程外，还应符合国家现行有关标准、规范的规定。 2、《国土资源部关于改革土地估价结果确认和土地资产处置审批办法的通知》（国土资发[2001]44号）。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bottom"/>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21 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采矿权新设立、变更登记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环境影响评价报告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取得资质的有关机构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《矿产资源开采登记管理办法》第五条  采矿权申请人申请办理采矿许可证时，应当向登记管理机关提交下列资料：（五）开采矿产资源的环境影响评价报告；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完成报告编制大约45天，评审至提交正式报告大约25天。 </w:t>
            </w:r>
          </w:p>
        </w:tc>
        <w:tc>
          <w:tcPr>
            <w:tcW w:w="1590" w:type="dxa"/>
            <w:shd w:val="clear"/>
            <w:vAlign w:val="bottom"/>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22 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不动产登记首次登记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测绘成果 </w:t>
            </w:r>
          </w:p>
        </w:tc>
        <w:tc>
          <w:tcPr>
            <w:tcW w:w="1260"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测绘公司 </w:t>
            </w:r>
          </w:p>
        </w:tc>
        <w:tc>
          <w:tcPr>
            <w:tcW w:w="3930"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1、《不动产登记暂行条例》2、《不动产登记操作规范》3、《不动产权籍调查技术方案（试行）》 </w:t>
            </w:r>
          </w:p>
        </w:tc>
        <w:tc>
          <w:tcPr>
            <w:tcW w:w="1755"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双方自行约定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23 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不动产登记变更登记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vMerge w:val="continue"/>
            <w:shd w:val="clear"/>
            <w:vAlign w:val="center"/>
          </w:tcPr>
          <w:p>
            <w:pPr>
              <w:rPr>
                <w:rFonts w:hint="eastAsia" w:ascii="宋体" w:hAnsi="宋体" w:eastAsia="宋体" w:cs="宋体"/>
                <w:sz w:val="24"/>
                <w:szCs w:val="24"/>
              </w:rPr>
            </w:pP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测绘成果 </w:t>
            </w:r>
          </w:p>
        </w:tc>
        <w:tc>
          <w:tcPr>
            <w:tcW w:w="1260" w:type="dxa"/>
            <w:vMerge w:val="continue"/>
            <w:shd w:val="clear"/>
            <w:vAlign w:val="center"/>
          </w:tcPr>
          <w:p>
            <w:pPr>
              <w:rPr>
                <w:rFonts w:hint="eastAsia" w:ascii="宋体" w:hAnsi="宋体" w:eastAsia="宋体" w:cs="宋体"/>
                <w:sz w:val="24"/>
                <w:szCs w:val="24"/>
              </w:rPr>
            </w:pPr>
          </w:p>
        </w:tc>
        <w:tc>
          <w:tcPr>
            <w:tcW w:w="3930" w:type="dxa"/>
            <w:vMerge w:val="continue"/>
            <w:shd w:val="clear"/>
            <w:vAlign w:val="center"/>
          </w:tcPr>
          <w:p>
            <w:pPr>
              <w:rPr>
                <w:rFonts w:hint="eastAsia" w:ascii="宋体" w:hAnsi="宋体" w:eastAsia="宋体" w:cs="宋体"/>
                <w:sz w:val="24"/>
                <w:szCs w:val="24"/>
              </w:rPr>
            </w:pPr>
          </w:p>
        </w:tc>
        <w:tc>
          <w:tcPr>
            <w:tcW w:w="1755" w:type="dxa"/>
            <w:vMerge w:val="continue"/>
            <w:shd w:val="clear"/>
            <w:vAlign w:val="center"/>
          </w:tcPr>
          <w:p>
            <w:pPr>
              <w:rPr>
                <w:rFonts w:hint="eastAsia" w:ascii="宋体" w:hAnsi="宋体" w:eastAsia="宋体" w:cs="宋体"/>
                <w:sz w:val="24"/>
                <w:szCs w:val="24"/>
              </w:rPr>
            </w:pP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vMerge w:val="continue"/>
            <w:shd w:val="clear"/>
            <w:vAlign w:val="center"/>
          </w:tcPr>
          <w:p>
            <w:pPr>
              <w:rPr>
                <w:rFonts w:hint="eastAsia" w:ascii="宋体" w:hAnsi="宋体" w:eastAsia="宋体" w:cs="宋体"/>
                <w:sz w:val="24"/>
                <w:szCs w:val="24"/>
              </w:rPr>
            </w:pP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24 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不动产登记转移登记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vMerge w:val="continue"/>
            <w:shd w:val="clear"/>
            <w:vAlign w:val="center"/>
          </w:tcPr>
          <w:p>
            <w:pPr>
              <w:rPr>
                <w:rFonts w:hint="eastAsia" w:ascii="宋体" w:hAnsi="宋体" w:eastAsia="宋体" w:cs="宋体"/>
                <w:sz w:val="24"/>
                <w:szCs w:val="24"/>
              </w:rPr>
            </w:pP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测绘成果 </w:t>
            </w:r>
          </w:p>
        </w:tc>
        <w:tc>
          <w:tcPr>
            <w:tcW w:w="1260" w:type="dxa"/>
            <w:vMerge w:val="continue"/>
            <w:shd w:val="clear"/>
            <w:vAlign w:val="center"/>
          </w:tcPr>
          <w:p>
            <w:pPr>
              <w:rPr>
                <w:rFonts w:hint="eastAsia" w:ascii="宋体" w:hAnsi="宋体" w:eastAsia="宋体" w:cs="宋体"/>
                <w:sz w:val="24"/>
                <w:szCs w:val="24"/>
              </w:rPr>
            </w:pPr>
          </w:p>
        </w:tc>
        <w:tc>
          <w:tcPr>
            <w:tcW w:w="3930" w:type="dxa"/>
            <w:vMerge w:val="continue"/>
            <w:shd w:val="clear"/>
            <w:vAlign w:val="center"/>
          </w:tcPr>
          <w:p>
            <w:pPr>
              <w:rPr>
                <w:rFonts w:hint="eastAsia" w:ascii="宋体" w:hAnsi="宋体" w:eastAsia="宋体" w:cs="宋体"/>
                <w:sz w:val="24"/>
                <w:szCs w:val="24"/>
              </w:rPr>
            </w:pPr>
          </w:p>
        </w:tc>
        <w:tc>
          <w:tcPr>
            <w:tcW w:w="1755" w:type="dxa"/>
            <w:vMerge w:val="continue"/>
            <w:shd w:val="clear"/>
            <w:vAlign w:val="center"/>
          </w:tcPr>
          <w:p>
            <w:pPr>
              <w:rPr>
                <w:rFonts w:hint="eastAsia" w:ascii="宋体" w:hAnsi="宋体" w:eastAsia="宋体" w:cs="宋体"/>
                <w:sz w:val="24"/>
                <w:szCs w:val="24"/>
              </w:rPr>
            </w:pP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vMerge w:val="continue"/>
            <w:shd w:val="clear"/>
            <w:vAlign w:val="center"/>
          </w:tcPr>
          <w:p>
            <w:pPr>
              <w:rPr>
                <w:rFonts w:hint="eastAsia" w:ascii="宋体" w:hAnsi="宋体" w:eastAsia="宋体" w:cs="宋体"/>
                <w:sz w:val="24"/>
                <w:szCs w:val="24"/>
              </w:rPr>
            </w:pP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25 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临时用地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26 </w:t>
            </w:r>
          </w:p>
        </w:tc>
        <w:tc>
          <w:tcPr>
            <w:tcW w:w="1005"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以国家作价出资方式处置土地资产的审核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27 </w:t>
            </w:r>
          </w:p>
        </w:tc>
        <w:tc>
          <w:tcPr>
            <w:tcW w:w="1005" w:type="dxa"/>
            <w:vMerge w:val="continue"/>
            <w:shd w:val="clear"/>
            <w:vAlign w:val="center"/>
          </w:tcPr>
          <w:p>
            <w:pPr>
              <w:rPr>
                <w:rFonts w:hint="eastAsia" w:ascii="宋体" w:hAnsi="宋体" w:eastAsia="宋体" w:cs="宋体"/>
                <w:sz w:val="24"/>
                <w:szCs w:val="24"/>
              </w:rPr>
            </w:pP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75" w:type="dxa"/>
            <w:vMerge w:val="continue"/>
            <w:shd w:val="clear"/>
            <w:vAlign w:val="center"/>
          </w:tcPr>
          <w:p>
            <w:pPr>
              <w:rPr>
                <w:rFonts w:hint="eastAsia" w:ascii="宋体" w:hAnsi="宋体" w:eastAsia="宋体" w:cs="宋体"/>
                <w:sz w:val="24"/>
                <w:szCs w:val="24"/>
              </w:rPr>
            </w:pP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地价评估报告书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取得资质的有关机构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城镇土地估价规程》1.2：规程适用范围本规程适用于城市规划区范围内建设用地的“基准地价”和“宗地地价”评估。独立工矿区、城市规划区外的成片开发区和国家重点基础设施建设用地、农村乡镇企业建设用地的土地估价也适用本规程。本规程所称城市，是指国家按行政建制设立的直辖市、市、镇。1.3：从事土地估价的基本规定城市基准地价评估由事业型评估单位和具有评估资格的市场中介评估机构评估，土地估价师不得少于７名。宗地地价评估由具有评估资格的市场中介机构评估，土地估价师不得少于２名。1.6：土地估价的法律依据土地估价除应符合本规程外，还应符合国家现行有关标准、规范的规定。 2、《国土资源部关于改革土地估价结果确认和土地资产处置审批办法的通知》（国土资发[2001]44号）。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28 </w:t>
            </w:r>
          </w:p>
        </w:tc>
        <w:tc>
          <w:tcPr>
            <w:tcW w:w="1005"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以国家入股方式处置土地资产的审核 </w:t>
            </w:r>
          </w:p>
        </w:tc>
        <w:tc>
          <w:tcPr>
            <w:tcW w:w="930"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vMerge w:val="restart"/>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29 </w:t>
            </w:r>
          </w:p>
        </w:tc>
        <w:tc>
          <w:tcPr>
            <w:tcW w:w="1005" w:type="dxa"/>
            <w:vMerge w:val="continue"/>
            <w:shd w:val="clear"/>
            <w:vAlign w:val="center"/>
          </w:tcPr>
          <w:p>
            <w:pPr>
              <w:rPr>
                <w:rFonts w:hint="eastAsia" w:ascii="宋体" w:hAnsi="宋体" w:eastAsia="宋体" w:cs="宋体"/>
                <w:sz w:val="24"/>
                <w:szCs w:val="24"/>
              </w:rPr>
            </w:pPr>
          </w:p>
        </w:tc>
        <w:tc>
          <w:tcPr>
            <w:tcW w:w="930" w:type="dxa"/>
            <w:vMerge w:val="continue"/>
            <w:shd w:val="clear"/>
            <w:vAlign w:val="center"/>
          </w:tcPr>
          <w:p>
            <w:pPr>
              <w:rPr>
                <w:rFonts w:hint="eastAsia" w:ascii="宋体" w:hAnsi="宋体" w:eastAsia="宋体" w:cs="宋体"/>
                <w:sz w:val="24"/>
                <w:szCs w:val="24"/>
              </w:rPr>
            </w:pPr>
          </w:p>
        </w:tc>
        <w:tc>
          <w:tcPr>
            <w:tcW w:w="975" w:type="dxa"/>
            <w:vMerge w:val="continue"/>
            <w:shd w:val="clear"/>
            <w:vAlign w:val="center"/>
          </w:tcPr>
          <w:p>
            <w:pPr>
              <w:rPr>
                <w:rFonts w:hint="eastAsia" w:ascii="宋体" w:hAnsi="宋体" w:eastAsia="宋体" w:cs="宋体"/>
                <w:sz w:val="24"/>
                <w:szCs w:val="24"/>
              </w:rPr>
            </w:pP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地价评估报告书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取得资质的有关机构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城镇土地估价规程》1.2：规程适用范围本规程适用于城市规划区范围内建设用地的“基准地价”和“宗地地价”评估。独立工矿区、城市规划区外的成片开发区和国家重点基础设施建设用地、农村乡镇企业建设用地的土地估价也适用本规程。本规程所称城市，是指国家按行政建制设立的直辖市、市、镇。1.3：从事土地估价的基本规定城市基准地价评估由事业型评估单位和具有评估资格的市场中介评估机构评估，土地估价师不得少于７名。宗地地价评估由具有评估资格的市场中介机构评估，土地估价师不得少于２名。1.6：土地估价的法律依据土地估价除应符合本规程外，还应符合国家现行有关标准、规范的规定。 2、《国土资源部关于改革土地估价结果确认和土地资产处置审批办法的通知》（国土资发[2001]44号）。 </w:t>
            </w:r>
          </w:p>
          <w:p>
            <w:pPr>
              <w:pStyle w:val="2"/>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30 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划拨国有土地使用权审核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31 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建设项目使用国有未利用土地审核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32 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农村村民住宅用地（包括住宅小区）审核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县自然资源局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土地勘测定界技术报告书、地籍测量（宗地图）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中华人民共和国测绘法第二十七条 国家对充实测绘活动的单位实行测绘资质管理制度。从事测绘活动的单位应当具备以下条件，并已发取得相应等级的测绘资质证书，方可从事测绘活动。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按物价部门核定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由中介机构提出合理的参考时限，通常时限7天。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33 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雷电防护装置设计审核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仙游县气象局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雷电防护装置设计技术评价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事业单位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1.《气象灾害防御条例》（国务院令第570号）第二十三条 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2.《防雷装置设计审核和竣工验收规定》（中国气象局 第21号令） 第九条　申请防雷装置施工图设计审核应当提交以下材料： （五）经当地气象主管机构认可的防雷专业技术机构出具的防雷装置设计技术评价报告。第十六条　防雷装置竣工验收应当提交以下材料：（四）取得防雷装置检测资质的单位出具的《防雷装置检测报告》。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政府购买服务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17个工作日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34 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雷电防护装置竣工验收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仙游县气象局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雷电防护装置竣工验收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事业单位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1.《气象灾害防御条例》（国务院令第570号）第二十三条 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2.《防雷装置设计审核和竣工验收规定》（中国气象局 第21号令） 第九条　申请防雷装置施工图设计审核应当提交以下材料： （五）经当地气象主管机构认可的防雷专业技术机构出具的防雷装置设计技术评价报告。第十六条　防雷装置竣工验收应当提交以下材料：（四）取得防雷装置检测资质的单位出具的《防雷装置检测报告》。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不收费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政府购买服务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20个工作日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在自然保护区建设项目使用林地审批（省级自然保护区）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36 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在自然保护区建设项目使用林地审批（国家级自然保护区）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37 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勘查、开采矿藏和各项建设工程占用或者征收、征用林地审批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38 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勘查、开采矿藏和各项建设工程占用或者征收、征用林地初审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39 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勘查、开采矿藏和各项建设工程占用或者征收、征用林地变更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40 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临时占用林地审批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41 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临时占用林地初审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42 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临时占用林地变更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43 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森林经营单位修筑直接为林业生产服务的工程设施占用林地审批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44 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森林经营单位修筑直接为林业生产服务的工程设施占用林地初审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45 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森林经营单位修筑直接为林业生产服务的工程设施占用林地变更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建设项目使用林地可行性报告或者林地现状调查表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建设项目使用林地审核审批管理办法》（2015年国家林业局令第35号）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占用林地和临时占用林地的用地单位或者个人提出使用林地申请，应当填写《使用林地申请表》，同时提供下列材料: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（四）具有相应资质的单位作出的建设项目使用林地可行性报告或者林地现状调查表。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申请人可按要求自行编制建设项目使用林地可行性报告或者林地现状调查表，也可委托有关机构编制，审批部门不得以任何形式要求申请人必须委托特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46 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珍贵树木（含名木古树）采伐初审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县级林业主管部门、福建省林业局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县级林业主管部门、福建省林业局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伐区调查设计文件编制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1.《森林法》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第三十四条　国有林业企业事业单位申请采伐许可证时，必须提出伐区调查设计文件。其他单位申请采伐许可证时，必须提出有关采伐的目的、地点、林种、林况、面积、蓄积、方式和更新措施等内容的文件。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对伐区作业不符合规定的单位，发放采伐许可证的部门有权收缴采伐许可证，中止其采伐，直到纠正为止。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2.《森林法实施条例》（国务院令第278号）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第三十条第一款  申请林木采伐许可证，除应当提交申请采伐林木所有权证书或者使用权证书外，还应当按照下列规定提交其他有关证明文件：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（一）国有林业企业事业单位还应当提交伐区调查设计文件和上年度来代更新验收征明。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3.《福建省森林条例》（2001年福建省第九届个人、单位、企业人民代表大会常务委员会第二十八次会议通过）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第二十六条第一款　伐区调查设计和木材检验，应当委托具有相应资质等级的机构承担。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莆田市物价局关于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林业中介服务收费标准的通知（莆市价[2017]25号）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47 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公益林抚育或更新采伐初审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县级林业主管部门、莆田市林业局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伐区调查设计文件编制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1.《森林法》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第三十四条　国有林业企业事业单位申请采伐许可证时，必须提出伐区调查设计文件。其他单位申请采伐许可证时，必须提出有关采伐的目的、地点、林种、林况、面积、蓄积、方式和更新措施等内容的文件。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对伐区作业不符合规定的单位，发放采伐许可证的部门有权收缴采伐许可证，中止其采伐，直到纠正为止。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2.《森林法实施条例》（国务院令第278号）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第三十条第一款  申请林木采伐许可证，除应当提交申请采伐林木所有权证书或者使用权证书外，还应当按照下列规定提交其他有关证明文件：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（一）国有林业企业事业单位还应当提交伐区调查设计文件和上年度来代更新验收征明。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3.《福建省森林条例》（2001年福建省第九届人民代表大会常务委员会第二十八次会议通过）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第二十六条第一款　伐区调查设计和木材检验，应当委托具有相应资质等级的机构承担。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莆田市物价局关于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林业中介服务收费标准的通知（莆市价[2017]25号）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48 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林木采伐许可证县级核发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伐区调查设计文件编制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1.《森林法》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第三十四条　国有林业企业事业单位申请采伐许可证时，必须提出伐区调查设计文件。其他单位申请采伐许可证时，必须提出有关采伐的目的、地点、林种、林况、面积、蓄积、方式和更新措施等内容的文件。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对伐区作业不符合规定的单位，发放采伐许可证的部门有权收缴采伐许可证，中止其采伐，直到纠正为止。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2.《森林法实施条例》（国务院令第278号）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第三十条第一款  申请林木采伐许可证，除应当提交申请采伐林木所有权证书或者使用权证书外，还应当按照下列规定提交其他有关证明文件：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（一）国有林业企业事业单位还应当提交伐区调查设计文件和上年度来代更新验收征明。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3.《福建省森林条例》（2001年福建省第九届人民代表大会常务委员会第二十八次会议通过）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第二十六条第一款　伐区调查设计和木材检验，应当委托具有相应资质等级的机构承担。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莆田市物价局关于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林业中介服务收费标准的通知（莆市价[2017]25号）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个人、单位、企业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49 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木材运输证核发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县级林业主管部门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木材检尺码单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取得相应资质等级的机构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《福建省森林条例》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第二十六条规定“伐区设计和木材检验，应当委托具有相应资质等级的机构承担。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莆田市物价局关于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林业中介服务收费标准的通知（莆市价[2017]25号）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即办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50 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b/>
                <w:sz w:val="24"/>
                <w:szCs w:val="24"/>
                <w:bdr w:val="none" w:color="auto" w:sz="0" w:space="0"/>
              </w:rPr>
              <w:t>可自行编制。</w:t>
            </w:r>
            <w:r>
              <w:rPr>
                <w:rFonts w:hint="eastAsia" w:ascii="宋体" w:hAnsi="宋体" w:eastAsia="宋体" w:cs="宋体"/>
                <w:sz w:val="24"/>
                <w:szCs w:val="24"/>
                <w:bdr w:val="none" w:color="auto" w:sz="0" w:space="0"/>
              </w:rPr>
              <w:t>注：根据生态环境部《建设项目环境影响报告书（表）编制监督管理办法》（部令9号）第二条建设单位可以委托技术单位对其建设项目开展环境影响评价，编制环境影响报告书（表）；建设单位具备环境影响评价技术能力的，可以自行对其建设项目开展环境影响评价，编制环境影响报告书（表）。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该办法自2019年11月1日起施行。2015年9月28日原环境保护部发布的《建设项目环境影响评价资质管理办法》(环境保护部令第36号)、2019年1月19日生态环境部发布的《关于取消建设项目环境影响评价资质行政许可事项后续相关工作要求的公告（暂行）》（生态环境部公告2019年第2号）同时废止。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51 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建设项目环境影响报告书重大变动重新审批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52 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53 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建设项目环境影响报告表重大变动重新审批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54 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企业强制性清洁生产审核评估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清洁生产审核评估报告委托编制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符合《清洁生产审核办法》（环境保护部令第38号）第十六条规定的机构。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《清洁生产审核办法》（环境保护部令2016年第38号）第十五条 清洁生产审核以企业自行组织开展为主。实施强制 性清洁生产审核的企业，如果自行独立组织开展清洁生产审核，应 具备本办法第十六条第（二）款、第（三）款的条件。 不具备独立开展清洁生产审核能力的企业，可以聘请外部专家 或委托具备相应能力的咨询服务机构协助开展清洁生产审核。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55 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企业强制性清洁生产审核验收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清洁生产审核验收报告委托编制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咨询服务机构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《清洁生产审核评估与验收指南》（环办科技〔2018〕5号）第十四条 《清洁生产审核验收报告》应由企业或委托咨询服务机构完成，其内容应当包括但不限于以下方面：（1）企业基本情况；（2）《清洁生产审核评估技术审查意见》的落实情况；（3）清洁生产中／高费方案完成情况及环境、经济效益汇总；（4）清洁生产目标实现情况及所达到的清洁生产水平；（5）持续开展清洁生产工作机制建设及运行情况。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56 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57 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建设项目环境影响报告书重大变动重新审批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建设项目环境影响报告书委托编制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58 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59 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建设项目环境影响报告表重大变动重新审批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建设项目环境影响报告表委托编制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符合《关于取消建设项目环境影响评价资质行政许可事项后续相关工作要求的公告（暂行）》（公告 2019年 第2号）文件第二点和第三点的机构。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《环境影响评价法》第十九条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（同50）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60 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企业强制性清洁生产审核评估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清洁生产审核评估报告委托编制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符合《清洁生产审核办法》（环境保护部令第38号）第十六条规定的机构。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《清洁生产审核办法》（环境保护部令2016年第38号）第十五条 清洁生产审核以企业自行组织开展为主。实施强制 性清洁生产审核的企业，如果自行独立组织开展清洁生产审核，应 具备本办法第十六条第（二）款、第（三）款的条件。 不具备独立开展清洁生产审核能力的企业，可以聘请外部专家 或委托具备相应能力的咨询服务机构协助开展清洁生产审核。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61 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企业强制性清洁生产审核验收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莆田市仙游生态环境局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清洁生产审核验收报告委托编制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咨询服务机构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《清洁生产审核评估与验收指南》（环办科技〔2018〕5号）第十四条 《清洁生产审核验收报告》应由企业或委托咨询服务机构完成，其内容应当包括但不限于以下方面：（1）企业基本情况；（2）《清洁生产审核评估技术审查意见》的落实情况；（3）清洁生产中／高费方案完成情况及环境、经济效益汇总；（4）清洁生产目标实现情况及所达到的清洁生产水平；（5）持续开展清洁生产工作机制建设及运行情况。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市场调节价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企业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双方协商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可自行编制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62 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固定资产投资项目节能评估和审查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县发改局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编制固定资产投资项目节能报告书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建设单位应编制固定资产投资项目节能报告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【法律】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《中华人民共和国节约能源法》 第十五条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【行政法规】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《公共机构节能条例》（国务院令第531号）第二十条   第二款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【地方性法规】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《福建省省节约能源条例》 第十六条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【部门规章】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《固定资产投资项目节能评估和审查办法》（2016年国家发展与改革委员会令第44号）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由项目申请与受托中介机构自行协商确定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由项目申请与受托中介机构自行协商确定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63 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政府出资的投资项目审批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县发改局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编制项目建议书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《国务院关于投资体制改革的决定》规定由具有相应资质的工程咨询机构编写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【国务院决定】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《国务院关于投资体制改革的决定》（国发〔2004〕20号）   第三（四）（五）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《中共中央、国务院关于深化投融资体制改革的意见》（中发〔2016〕18号）第三（七）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【规范性文件】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《中央预算内直接投资项目管理办法》（2014年国家发展改革委令第7号）第十一条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64 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政府出资的投资项目审批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县发改局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无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编制可行性研究报告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《国务院关于投资体制改革的决定》规定由具有相应资质的工程咨询机构编写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【国务院决定】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《国务院关于投资体制改革的决定》（国发〔2004〕20号）第三（四）、（五）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《中共中央、国务院关于深化投融资体制改革的意见》（中发〔2016〕18号）第三（七）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【规范性文件】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《中央预算内直接投资项目管理办法》（2014年国家发展改革委令第7号）第十六条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52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65 </w:t>
            </w:r>
          </w:p>
        </w:tc>
        <w:tc>
          <w:tcPr>
            <w:tcW w:w="100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政府出资的投资项目审批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县发改局 </w:t>
            </w:r>
          </w:p>
        </w:tc>
        <w:tc>
          <w:tcPr>
            <w:tcW w:w="97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部分主管部门 </w:t>
            </w:r>
          </w:p>
        </w:tc>
        <w:tc>
          <w:tcPr>
            <w:tcW w:w="9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编制初步设计及概算 </w:t>
            </w:r>
          </w:p>
        </w:tc>
        <w:tc>
          <w:tcPr>
            <w:tcW w:w="126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《国务院关于投资体制改革的决定》规定由具有相应资质的工程咨询机构编写 </w:t>
            </w:r>
          </w:p>
        </w:tc>
        <w:tc>
          <w:tcPr>
            <w:tcW w:w="3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【国务院决定】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《国务院关于投资体制改革的决定》（国发〔2004〕20号）   第三（四）、（五）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《中共中央、国务院关于深化投融资体制改革的意见》（中发〔2016〕18号）第三（七）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【规范性文件】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《中央预算内直接投资项目管理办法》（2014年国家发展改革委令第7号）第二十一条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755"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93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由项目申请与受托咨询机构自行协商确定 </w:t>
            </w:r>
          </w:p>
        </w:tc>
        <w:tc>
          <w:tcPr>
            <w:tcW w:w="1590" w:type="dxa"/>
            <w:shd w:val="clear"/>
            <w:vAlign w:val="center"/>
          </w:tcPr>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tc>
      </w:tr>
    </w:tbl>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注：1.审批事项名称应与省网上办事大厅审批事项名称一致；2.设定中介服务的依据填写相关法律法规及具体条款；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3.中介服务收费标准及依据，写明具体收费标准及文件依据；4.中介服务收费承担对象填写政府部门或企业； </w:t>
      </w:r>
    </w:p>
    <w:p>
      <w:pPr>
        <w:pStyle w:val="2"/>
        <w:keepNext w:val="0"/>
        <w:keepLines w:val="0"/>
        <w:widowControl/>
        <w:suppressLineNumbers w:val="0"/>
        <w:spacing w:before="0" w:beforeAutospacing="0" w:after="0" w:afterAutospacing="0" w:line="15" w:lineRule="atLeast"/>
        <w:jc w:val="both"/>
        <w:rPr>
          <w:rFonts w:hint="eastAsia" w:ascii="宋体" w:hAnsi="宋体" w:eastAsia="宋体" w:cs="宋体"/>
          <w:sz w:val="24"/>
          <w:szCs w:val="24"/>
        </w:rPr>
      </w:pPr>
      <w:r>
        <w:rPr>
          <w:rFonts w:hint="eastAsia" w:ascii="宋体" w:hAnsi="宋体" w:eastAsia="宋体" w:cs="宋体"/>
          <w:sz w:val="24"/>
          <w:szCs w:val="24"/>
        </w:rPr>
        <w:t>　　    5.中介服务时限及依据填写有关法律法规条款，无明确规定由双方协商的，填写双方协商；6.需要进一步明确的事项说明，请在备注栏注明 </w:t>
      </w:r>
    </w:p>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B0D38"/>
    <w:rsid w:val="14AB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2019-12-13T08:57:00Z</dcterms:created>
  <dc:creator>似花还似非花1388969169</dc:creator>
  <cp:lastModifiedBy>似花还似非花1388969169</cp:lastModifiedBy>
  <dcterms:modified xsi:type="dcterms:W3CDTF">2019-12-13T09:01:04Z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