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insoku/>
        <w:wordWrap/>
        <w:overflowPunct/>
        <w:autoSpaceDE/>
        <w:autoSpaceDN/>
        <w:bidi w:val="0"/>
        <w:spacing w:line="600" w:lineRule="exact"/>
        <w:ind w:left="0" w:leftChars="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附件</w:t>
      </w:r>
    </w:p>
    <w:p>
      <w:pPr>
        <w:kinsoku/>
        <w:wordWrap/>
        <w:overflowPunct/>
        <w:autoSpaceDE/>
        <w:autoSpaceDN/>
        <w:bidi w:val="0"/>
        <w:spacing w:line="600" w:lineRule="exact"/>
        <w:ind w:left="0" w:leftChars="0"/>
        <w:jc w:val="both"/>
        <w:textAlignment w:val="auto"/>
        <w:rPr>
          <w:rStyle w:val="6"/>
          <w:rFonts w:ascii="宋体" w:hAnsi="宋体" w:eastAsia="仿宋_GB2312"/>
          <w:kern w:val="2"/>
          <w:sz w:val="32"/>
          <w:szCs w:val="24"/>
          <w:lang w:val="en-US" w:eastAsia="zh-CN" w:bidi="ar-SA"/>
        </w:rPr>
      </w:pPr>
    </w:p>
    <w:p>
      <w:pPr>
        <w:kinsoku/>
        <w:wordWrap/>
        <w:overflowPunct/>
        <w:autoSpaceDE/>
        <w:autoSpaceDN/>
        <w:bidi w:val="0"/>
        <w:spacing w:line="600" w:lineRule="exact"/>
        <w:ind w:left="0" w:leftChars="0"/>
        <w:jc w:val="center"/>
        <w:textAlignment w:val="auto"/>
        <w:rPr>
          <w:rStyle w:val="6"/>
          <w:rFonts w:ascii="宋体" w:hAnsi="宋体" w:eastAsia="方正小标宋简体"/>
          <w:kern w:val="2"/>
          <w:sz w:val="44"/>
          <w:szCs w:val="44"/>
          <w:lang w:val="en-US" w:eastAsia="zh-CN" w:bidi="ar-SA"/>
        </w:rPr>
      </w:pPr>
      <w:bookmarkStart w:id="0" w:name="OLE_LINK1"/>
      <w:r>
        <w:rPr>
          <w:rStyle w:val="6"/>
          <w:rFonts w:ascii="宋体" w:hAnsi="宋体" w:eastAsia="方正小标宋简体"/>
          <w:kern w:val="2"/>
          <w:sz w:val="44"/>
          <w:szCs w:val="44"/>
          <w:lang w:val="en-US" w:eastAsia="zh-CN" w:bidi="ar-SA"/>
        </w:rPr>
        <w:t>仙游县PS-</w:t>
      </w:r>
      <w:r>
        <w:rPr>
          <w:rStyle w:val="6"/>
          <w:rFonts w:hint="eastAsia" w:ascii="宋体" w:hAnsi="宋体" w:eastAsia="方正小标宋简体"/>
          <w:kern w:val="2"/>
          <w:sz w:val="44"/>
          <w:szCs w:val="44"/>
          <w:lang w:val="en-US" w:eastAsia="zh-CN" w:bidi="ar-SA"/>
        </w:rPr>
        <w:t>2021-6</w:t>
      </w:r>
      <w:r>
        <w:rPr>
          <w:rStyle w:val="6"/>
          <w:rFonts w:ascii="宋体" w:hAnsi="宋体" w:eastAsia="方正小标宋简体"/>
          <w:kern w:val="2"/>
          <w:sz w:val="44"/>
          <w:szCs w:val="44"/>
          <w:lang w:val="en-US" w:eastAsia="zh-CN" w:bidi="ar-SA"/>
        </w:rPr>
        <w:t>号地块国有建设用地</w:t>
      </w:r>
    </w:p>
    <w:p>
      <w:pPr>
        <w:kinsoku/>
        <w:wordWrap/>
        <w:overflowPunct/>
        <w:autoSpaceDE/>
        <w:autoSpaceDN/>
        <w:bidi w:val="0"/>
        <w:spacing w:line="600" w:lineRule="exact"/>
        <w:ind w:left="0" w:leftChars="0"/>
        <w:jc w:val="center"/>
        <w:textAlignment w:val="auto"/>
        <w:rPr>
          <w:rStyle w:val="6"/>
          <w:rFonts w:ascii="宋体" w:hAnsi="宋体" w:eastAsia="方正小标宋简体"/>
          <w:kern w:val="2"/>
          <w:sz w:val="44"/>
          <w:szCs w:val="44"/>
          <w:lang w:val="en-US" w:eastAsia="zh-CN" w:bidi="ar-SA"/>
        </w:rPr>
      </w:pPr>
      <w:r>
        <w:rPr>
          <w:rStyle w:val="6"/>
          <w:rFonts w:ascii="宋体" w:hAnsi="宋体" w:eastAsia="方正小标宋简体"/>
          <w:kern w:val="2"/>
          <w:sz w:val="44"/>
          <w:szCs w:val="44"/>
          <w:lang w:val="en-US" w:eastAsia="zh-CN" w:bidi="ar-SA"/>
        </w:rPr>
        <w:t>使用权拍卖出让方案</w:t>
      </w:r>
    </w:p>
    <w:p>
      <w:pPr>
        <w:kinsoku/>
        <w:wordWrap/>
        <w:overflowPunct/>
        <w:autoSpaceDE/>
        <w:autoSpaceDN/>
        <w:bidi w:val="0"/>
        <w:spacing w:line="440" w:lineRule="exact"/>
        <w:ind w:left="0" w:leftChars="0"/>
        <w:jc w:val="both"/>
        <w:textAlignment w:val="auto"/>
        <w:rPr>
          <w:rStyle w:val="6"/>
          <w:rFonts w:ascii="宋体" w:hAnsi="宋体" w:eastAsia="仿宋_GB2312"/>
          <w:kern w:val="2"/>
          <w:sz w:val="32"/>
          <w:szCs w:val="24"/>
          <w:lang w:val="en-US" w:eastAsia="zh-CN" w:bidi="ar-SA"/>
        </w:rPr>
      </w:pP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根据我县城市建设规划和土地年度供应计划，拟对仙游县PS-</w:t>
      </w:r>
      <w:r>
        <w:rPr>
          <w:rStyle w:val="6"/>
          <w:rFonts w:hint="eastAsia" w:ascii="宋体" w:hAnsi="宋体"/>
          <w:kern w:val="2"/>
          <w:sz w:val="32"/>
          <w:szCs w:val="24"/>
          <w:lang w:val="en-US" w:eastAsia="zh-CN" w:bidi="ar-SA"/>
        </w:rPr>
        <w:t>2021-6</w:t>
      </w:r>
      <w:r>
        <w:rPr>
          <w:rStyle w:val="6"/>
          <w:rFonts w:ascii="宋体" w:hAnsi="宋体" w:eastAsia="仿宋_GB2312"/>
          <w:kern w:val="2"/>
          <w:sz w:val="32"/>
          <w:szCs w:val="24"/>
          <w:lang w:val="en-US" w:eastAsia="zh-CN" w:bidi="ar-SA"/>
        </w:rPr>
        <w:t>号地块国有建设用地使用权进行公开拍卖出让，特制定公开拍卖出让方案如下：</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一、拍卖地块的位置、面积</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拍卖出让地块位于仙游县鲤城街道，</w:t>
      </w:r>
      <w:r>
        <w:rPr>
          <w:rFonts w:hint="eastAsia" w:ascii="宋体" w:hAnsi="宋体" w:eastAsia="仿宋" w:cs="仿宋"/>
          <w:sz w:val="32"/>
          <w:szCs w:val="32"/>
        </w:rPr>
        <w:t>东至</w:t>
      </w:r>
      <w:r>
        <w:rPr>
          <w:rFonts w:hint="eastAsia" w:ascii="宋体" w:hAnsi="宋体" w:eastAsia="仿宋" w:cs="仿宋"/>
          <w:sz w:val="32"/>
          <w:szCs w:val="32"/>
          <w:lang w:eastAsia="zh-CN"/>
        </w:rPr>
        <w:t>党校路北段</w:t>
      </w:r>
      <w:r>
        <w:rPr>
          <w:rFonts w:hint="eastAsia" w:ascii="宋体" w:hAnsi="宋体" w:eastAsia="仿宋" w:cs="仿宋"/>
          <w:sz w:val="32"/>
          <w:szCs w:val="32"/>
        </w:rPr>
        <w:t>，西至规划路，南至规划路，北至北三环路</w:t>
      </w:r>
      <w:r>
        <w:rPr>
          <w:rFonts w:hint="eastAsia" w:ascii="宋体" w:hAnsi="宋体" w:eastAsia="仿宋" w:cs="仿宋"/>
          <w:sz w:val="32"/>
          <w:szCs w:val="32"/>
          <w:lang w:eastAsia="zh-CN"/>
        </w:rPr>
        <w:t>防护绿地</w:t>
      </w:r>
      <w:r>
        <w:rPr>
          <w:rStyle w:val="6"/>
          <w:rFonts w:ascii="宋体" w:hAnsi="宋体" w:eastAsia="仿宋_GB2312"/>
          <w:kern w:val="2"/>
          <w:sz w:val="32"/>
          <w:szCs w:val="24"/>
          <w:lang w:val="en-US" w:eastAsia="zh-CN" w:bidi="ar-SA"/>
        </w:rPr>
        <w:t>。宗地编号为PS-</w:t>
      </w:r>
      <w:r>
        <w:rPr>
          <w:rStyle w:val="6"/>
          <w:rFonts w:hint="eastAsia" w:ascii="宋体" w:hAnsi="宋体"/>
          <w:kern w:val="2"/>
          <w:sz w:val="32"/>
          <w:szCs w:val="24"/>
          <w:lang w:val="en-US" w:eastAsia="zh-CN" w:bidi="ar-SA"/>
        </w:rPr>
        <w:t>2021-6</w:t>
      </w:r>
      <w:r>
        <w:rPr>
          <w:rStyle w:val="6"/>
          <w:rFonts w:ascii="宋体" w:hAnsi="宋体" w:eastAsia="仿宋_GB2312"/>
          <w:kern w:val="2"/>
          <w:sz w:val="32"/>
          <w:szCs w:val="24"/>
          <w:lang w:val="en-US" w:eastAsia="zh-CN" w:bidi="ar-SA"/>
        </w:rPr>
        <w:t>号。用地总面积为</w:t>
      </w:r>
      <w:r>
        <w:rPr>
          <w:rFonts w:hint="eastAsia"/>
          <w:color w:val="auto"/>
          <w:u w:val="none"/>
          <w:lang w:val="en-US" w:eastAsia="zh-CN"/>
        </w:rPr>
        <w:t>40899.1平方米</w:t>
      </w:r>
      <w:r>
        <w:rPr>
          <w:rStyle w:val="6"/>
          <w:rFonts w:ascii="宋体" w:hAnsi="宋体" w:eastAsia="仿宋_GB2312"/>
          <w:kern w:val="2"/>
          <w:sz w:val="32"/>
          <w:szCs w:val="24"/>
          <w:lang w:val="en-US" w:eastAsia="zh-CN" w:bidi="ar-SA"/>
        </w:rPr>
        <w:t>，实际拍卖出让土地面积</w:t>
      </w:r>
      <w:r>
        <w:rPr>
          <w:rFonts w:hint="eastAsia"/>
          <w:color w:val="auto"/>
          <w:u w:val="none"/>
          <w:lang w:val="en-US" w:eastAsia="zh-CN"/>
        </w:rPr>
        <w:t>4.0899</w:t>
      </w:r>
      <w:r>
        <w:rPr>
          <w:rStyle w:val="6"/>
          <w:rFonts w:ascii="宋体" w:hAnsi="宋体" w:eastAsia="仿宋_GB2312"/>
          <w:kern w:val="2"/>
          <w:sz w:val="32"/>
          <w:szCs w:val="24"/>
          <w:lang w:val="en-US" w:eastAsia="zh-CN" w:bidi="ar-SA"/>
        </w:rPr>
        <w:t>公顷（详见用地规划红线图）。</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黑体"/>
          <w:kern w:val="2"/>
          <w:sz w:val="32"/>
          <w:szCs w:val="24"/>
          <w:lang w:val="en-US" w:eastAsia="zh-CN" w:bidi="ar-SA"/>
        </w:rPr>
        <w:t>二、拍卖地块的用途、使用年限、土地交付及建设时间</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（一）拍卖地块的规划用途为：住宅用地--城镇住宅用地（普通商品房）及服务设施用地（养老服务设施）。</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（二）土地使用权出让年限为住宅用地--城镇住宅用地（商品房）及服务设施用地70年，自土地使用权交付之日起算。</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三）土地交付时间：自《国有建设用地使用权出让合同》签订之日起两个月内交付土地使用权，土地竞得人应在《国有建设用地使用权出让合同》签订之日起两个月内与土地出让人签订《交地确认书》，逾期未签订的，经土地出让人催告通知后，十日内仍未签订的，视同土地出让人已交付土地给土地竞得人。</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（四）土地建设时间：土地竞得人在土地交付之日起</w:t>
      </w:r>
      <w:r>
        <w:rPr>
          <w:rStyle w:val="6"/>
          <w:rFonts w:hint="eastAsia" w:ascii="宋体" w:hAnsi="宋体"/>
          <w:kern w:val="2"/>
          <w:sz w:val="32"/>
          <w:szCs w:val="24"/>
          <w:lang w:val="en-US" w:eastAsia="zh-CN" w:bidi="ar-SA"/>
        </w:rPr>
        <w:t>一年</w:t>
      </w:r>
      <w:r>
        <w:rPr>
          <w:rStyle w:val="6"/>
          <w:rFonts w:ascii="宋体" w:hAnsi="宋体" w:eastAsia="仿宋_GB2312"/>
          <w:kern w:val="2"/>
          <w:sz w:val="32"/>
          <w:szCs w:val="24"/>
          <w:lang w:val="en-US" w:eastAsia="zh-CN" w:bidi="ar-SA"/>
        </w:rPr>
        <w:t>内开工，自开工之日起</w:t>
      </w:r>
      <w:r>
        <w:rPr>
          <w:rStyle w:val="6"/>
          <w:rFonts w:hint="eastAsia" w:ascii="宋体" w:hAnsi="宋体"/>
          <w:kern w:val="2"/>
          <w:sz w:val="32"/>
          <w:szCs w:val="24"/>
          <w:lang w:val="en-US" w:eastAsia="zh-CN" w:bidi="ar-SA"/>
        </w:rPr>
        <w:t>三年</w:t>
      </w:r>
      <w:r>
        <w:rPr>
          <w:rStyle w:val="6"/>
          <w:rFonts w:ascii="宋体" w:hAnsi="宋体" w:eastAsia="仿宋_GB2312"/>
          <w:kern w:val="2"/>
          <w:sz w:val="32"/>
          <w:szCs w:val="24"/>
          <w:lang w:val="en-US" w:eastAsia="zh-CN" w:bidi="ar-SA"/>
        </w:rPr>
        <w:t>内竣工。</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三</w:t>
      </w:r>
      <w:r>
        <w:rPr>
          <w:rStyle w:val="6"/>
          <w:rFonts w:ascii="宋体" w:hAnsi="宋体" w:eastAsia="仿宋_GB2312"/>
          <w:kern w:val="2"/>
          <w:sz w:val="32"/>
          <w:szCs w:val="24"/>
          <w:lang w:val="en-US" w:eastAsia="zh-CN" w:bidi="ar-SA"/>
        </w:rPr>
        <w:t>、</w:t>
      </w:r>
      <w:r>
        <w:rPr>
          <w:rStyle w:val="6"/>
          <w:rFonts w:ascii="宋体" w:hAnsi="宋体" w:eastAsia="黑体"/>
          <w:kern w:val="2"/>
          <w:sz w:val="32"/>
          <w:szCs w:val="24"/>
          <w:lang w:val="en-US" w:eastAsia="zh-CN" w:bidi="ar-SA"/>
        </w:rPr>
        <w:t>拍卖地块建设规划条件及要求</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（一）拍卖地块规划经济技术指标为：</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1.1.0＜容积率≤</w:t>
      </w:r>
      <w:r>
        <w:rPr>
          <w:rStyle w:val="6"/>
          <w:rFonts w:hint="eastAsia" w:ascii="宋体" w:hAnsi="宋体"/>
          <w:kern w:val="2"/>
          <w:sz w:val="32"/>
          <w:szCs w:val="24"/>
          <w:lang w:val="en-US" w:eastAsia="zh-CN" w:bidi="ar-SA"/>
        </w:rPr>
        <w:t>1.6</w:t>
      </w:r>
      <w:r>
        <w:rPr>
          <w:rStyle w:val="6"/>
          <w:rFonts w:ascii="宋体" w:hAnsi="宋体" w:eastAsia="仿宋_GB2312"/>
          <w:kern w:val="2"/>
          <w:sz w:val="32"/>
          <w:szCs w:val="24"/>
          <w:lang w:val="en-US" w:eastAsia="zh-CN" w:bidi="ar-SA"/>
        </w:rPr>
        <w:t>；</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2.建筑密度≤</w:t>
      </w:r>
      <w:r>
        <w:rPr>
          <w:rStyle w:val="6"/>
          <w:rFonts w:hint="eastAsia" w:ascii="宋体" w:hAnsi="宋体"/>
          <w:kern w:val="2"/>
          <w:sz w:val="32"/>
          <w:szCs w:val="24"/>
          <w:lang w:val="en-US" w:eastAsia="zh-CN" w:bidi="ar-SA"/>
        </w:rPr>
        <w:t>28</w:t>
      </w:r>
      <w:r>
        <w:rPr>
          <w:rStyle w:val="6"/>
          <w:rFonts w:ascii="宋体" w:hAnsi="宋体" w:eastAsia="仿宋_GB2312"/>
          <w:kern w:val="2"/>
          <w:sz w:val="32"/>
          <w:szCs w:val="24"/>
          <w:lang w:val="en-US" w:eastAsia="zh-CN" w:bidi="ar-SA"/>
        </w:rPr>
        <w:t>.0%；</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3.绿地率≥</w:t>
      </w:r>
      <w:r>
        <w:rPr>
          <w:rStyle w:val="6"/>
          <w:rFonts w:hint="eastAsia" w:ascii="宋体" w:hAnsi="宋体"/>
          <w:kern w:val="2"/>
          <w:sz w:val="32"/>
          <w:szCs w:val="24"/>
          <w:lang w:val="en-US" w:eastAsia="zh-CN" w:bidi="ar-SA"/>
        </w:rPr>
        <w:t>30</w:t>
      </w:r>
      <w:r>
        <w:rPr>
          <w:rStyle w:val="6"/>
          <w:rFonts w:ascii="宋体" w:hAnsi="宋体" w:eastAsia="仿宋_GB2312"/>
          <w:kern w:val="2"/>
          <w:sz w:val="32"/>
          <w:szCs w:val="24"/>
          <w:lang w:val="en-US" w:eastAsia="zh-CN" w:bidi="ar-SA"/>
        </w:rPr>
        <w:t>.0%；</w:t>
      </w:r>
    </w:p>
    <w:p>
      <w:pPr>
        <w:kinsoku/>
        <w:wordWrap/>
        <w:overflowPunct/>
        <w:autoSpaceDE/>
        <w:autoSpaceDN/>
        <w:bidi w:val="0"/>
        <w:spacing w:line="560" w:lineRule="exact"/>
        <w:ind w:left="0" w:leftChars="0" w:firstLine="640" w:firstLineChars="200"/>
        <w:jc w:val="both"/>
        <w:textAlignment w:val="auto"/>
        <w:rPr>
          <w:rStyle w:val="6"/>
          <w:rFonts w:hint="eastAsia"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4.</w:t>
      </w:r>
      <w:r>
        <w:rPr>
          <w:rFonts w:hint="eastAsia" w:eastAsia="仿宋_GB2312"/>
          <w:sz w:val="32"/>
          <w:szCs w:val="32"/>
        </w:rPr>
        <w:t>建筑高度严格按照城市中轴线要求的高度控制（西低东高，西侧建筑物按5层设计（建筑高度≤18m），东侧建筑高度≤54m, 住宅建筑层数≥5层</w:t>
      </w:r>
      <w:r>
        <w:rPr>
          <w:rStyle w:val="6"/>
          <w:rFonts w:hint="eastAsia" w:ascii="宋体" w:hAnsi="宋体"/>
          <w:kern w:val="2"/>
          <w:sz w:val="32"/>
          <w:szCs w:val="24"/>
          <w:lang w:val="en-US" w:eastAsia="zh-CN" w:bidi="ar-SA"/>
        </w:rPr>
        <w:t>。</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（二）规划设计方案应符合《福建省城市规划管理技术规定》（2017年2月）和各相关专业规范要求。</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三）在符合相关规定前提下，土地竞得人可合理利用开发地下空间，并应考虑人防、地下管线、消防、停车场及其它配套设施功能。市政公用设施配建（包括夜景）按有关规定设置。消防控制室、有线及电信设备房、高低压变配电机房等规范要求设置的设施应按有关规范执行。</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四）公共服务设施配建应符合《城市居住区规划设计规范》（GB50180—2018）（2018年版）的分级配建要求。除新建、改建或扩建的建筑物要按标准配建相应规模的停车场（库）外，住宅建设项目配建停车位中应包含不低于5%的公共停车泊位，公共停车泊位宜设置在地面。</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（五）竖向及市政工程管线规划应与该片区的竖向标高、控规的道路管线相衔接。</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（六）本规划条件未提及的，应符合有关规定要求。今后建设以经批准的修建性详细规划方案为准。</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四、其他要求</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1.</w:t>
      </w:r>
      <w:r>
        <w:rPr>
          <w:rStyle w:val="6"/>
          <w:rFonts w:hint="eastAsia" w:ascii="宋体" w:hAnsi="宋体"/>
          <w:kern w:val="2"/>
          <w:sz w:val="32"/>
          <w:szCs w:val="24"/>
          <w:lang w:val="en-US" w:eastAsia="zh-CN" w:bidi="ar-SA"/>
        </w:rPr>
        <w:t>沿街的建筑若</w:t>
      </w:r>
      <w:r>
        <w:rPr>
          <w:rStyle w:val="6"/>
          <w:rFonts w:ascii="宋体" w:hAnsi="宋体" w:eastAsia="仿宋_GB2312"/>
          <w:color w:val="auto"/>
          <w:kern w:val="2"/>
          <w:sz w:val="32"/>
          <w:szCs w:val="24"/>
          <w:lang w:val="en-US" w:eastAsia="zh-CN" w:bidi="ar-SA"/>
        </w:rPr>
        <w:t>设置阳台时不得设置敞开式阳台。</w:t>
      </w:r>
      <w:r>
        <w:rPr>
          <w:rFonts w:hint="eastAsia" w:ascii="仿宋" w:hAnsi="仿宋" w:eastAsia="仿宋_GB2312" w:cs="Times New Roman"/>
          <w:spacing w:val="6"/>
          <w:kern w:val="2"/>
          <w:sz w:val="32"/>
          <w:szCs w:val="32"/>
        </w:rPr>
        <w:t>住宅阳台应单独设置废水排水管，并接入市政污水收集系统。</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2.养老服务设施按照《仙游县人民政府办公室关于印发仙游县住宅区配建养老服务设施建设、移交与管理工作实施细则的通知》文件要求配建，建筑面积≥1</w:t>
      </w:r>
      <w:r>
        <w:rPr>
          <w:rStyle w:val="6"/>
          <w:rFonts w:hint="eastAsia" w:ascii="宋体" w:hAnsi="宋体"/>
          <w:kern w:val="2"/>
          <w:sz w:val="32"/>
          <w:szCs w:val="24"/>
          <w:lang w:val="en-US" w:eastAsia="zh-CN" w:bidi="ar-SA"/>
        </w:rPr>
        <w:t>4</w:t>
      </w:r>
      <w:r>
        <w:rPr>
          <w:rStyle w:val="6"/>
          <w:rFonts w:ascii="宋体" w:hAnsi="宋体" w:eastAsia="仿宋_GB2312"/>
          <w:kern w:val="2"/>
          <w:sz w:val="32"/>
          <w:szCs w:val="24"/>
          <w:lang w:val="en-US" w:eastAsia="zh-CN" w:bidi="ar-SA"/>
        </w:rPr>
        <w:t>0平方米</w:t>
      </w:r>
      <w:r>
        <w:rPr>
          <w:rStyle w:val="6"/>
          <w:rFonts w:hint="eastAsia" w:ascii="宋体" w:hAnsi="宋体"/>
          <w:kern w:val="2"/>
          <w:sz w:val="32"/>
          <w:szCs w:val="24"/>
          <w:lang w:val="en-US" w:eastAsia="zh-CN" w:bidi="ar-SA"/>
        </w:rPr>
        <w:t>,</w:t>
      </w:r>
      <w:r>
        <w:rPr>
          <w:rFonts w:hint="eastAsia" w:ascii="宋体" w:hAnsi="宋体" w:eastAsia="仿宋_GB2312"/>
          <w:bCs/>
          <w:sz w:val="32"/>
          <w:szCs w:val="32"/>
        </w:rPr>
        <w:t>且每百户不少于20㎡，不足百户按百户计</w:t>
      </w:r>
      <w:r>
        <w:rPr>
          <w:rStyle w:val="6"/>
          <w:rFonts w:ascii="宋体" w:hAnsi="宋体" w:eastAsia="仿宋_GB2312"/>
          <w:kern w:val="2"/>
          <w:sz w:val="32"/>
          <w:szCs w:val="24"/>
          <w:lang w:val="en-US" w:eastAsia="zh-CN" w:bidi="ar-SA"/>
        </w:rPr>
        <w:t>。土地竞得人须在签订《国有建设用地使用权出让合同》的同时签订《PS-</w:t>
      </w:r>
      <w:r>
        <w:rPr>
          <w:rStyle w:val="6"/>
          <w:rFonts w:hint="eastAsia" w:ascii="宋体" w:hAnsi="宋体"/>
          <w:kern w:val="2"/>
          <w:sz w:val="32"/>
          <w:szCs w:val="24"/>
          <w:lang w:val="en-US" w:eastAsia="zh-CN" w:bidi="ar-SA"/>
        </w:rPr>
        <w:t>2021-6</w:t>
      </w:r>
      <w:r>
        <w:rPr>
          <w:rStyle w:val="6"/>
          <w:rFonts w:ascii="宋体" w:hAnsi="宋体" w:eastAsia="仿宋_GB2312"/>
          <w:kern w:val="2"/>
          <w:sz w:val="32"/>
          <w:szCs w:val="24"/>
          <w:lang w:val="en-US" w:eastAsia="zh-CN" w:bidi="ar-SA"/>
        </w:rPr>
        <w:t>号地块无偿配建养老服务设施协议书》，配建的养老服务设施不动产产权归仙游县鲤城街道办事处。</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3.根据莆建便函〔202</w:t>
      </w:r>
      <w:r>
        <w:rPr>
          <w:rStyle w:val="6"/>
          <w:rFonts w:hint="eastAsia" w:ascii="宋体" w:hAnsi="宋体"/>
          <w:kern w:val="2"/>
          <w:sz w:val="32"/>
          <w:szCs w:val="24"/>
          <w:lang w:val="en-US" w:eastAsia="zh-CN" w:bidi="ar-SA"/>
        </w:rPr>
        <w:t>1</w:t>
      </w:r>
      <w:r>
        <w:rPr>
          <w:rStyle w:val="6"/>
          <w:rFonts w:ascii="宋体" w:hAnsi="宋体" w:eastAsia="仿宋_GB2312"/>
          <w:kern w:val="2"/>
          <w:sz w:val="32"/>
          <w:szCs w:val="24"/>
          <w:lang w:val="en-US" w:eastAsia="zh-CN" w:bidi="ar-SA"/>
        </w:rPr>
        <w:t>〕</w:t>
      </w:r>
      <w:r>
        <w:rPr>
          <w:rStyle w:val="6"/>
          <w:rFonts w:hint="eastAsia" w:ascii="宋体" w:hAnsi="宋体"/>
          <w:kern w:val="2"/>
          <w:sz w:val="32"/>
          <w:szCs w:val="24"/>
          <w:lang w:val="en-US" w:eastAsia="zh-CN" w:bidi="ar-SA"/>
        </w:rPr>
        <w:t>172</w:t>
      </w:r>
      <w:r>
        <w:rPr>
          <w:rStyle w:val="6"/>
          <w:rFonts w:ascii="宋体" w:hAnsi="宋体" w:eastAsia="仿宋_GB2312"/>
          <w:kern w:val="2"/>
          <w:sz w:val="32"/>
          <w:szCs w:val="24"/>
          <w:lang w:val="en-US" w:eastAsia="zh-CN" w:bidi="ar-SA"/>
        </w:rPr>
        <w:t>号文件要求：①该</w:t>
      </w:r>
      <w:r>
        <w:rPr>
          <w:rStyle w:val="6"/>
          <w:rFonts w:hint="eastAsia" w:ascii="宋体" w:hAnsi="宋体"/>
          <w:kern w:val="2"/>
          <w:sz w:val="32"/>
          <w:szCs w:val="24"/>
          <w:lang w:val="en-US" w:eastAsia="zh-CN" w:bidi="ar-SA"/>
        </w:rPr>
        <w:t>项目中</w:t>
      </w:r>
      <w:r>
        <w:rPr>
          <w:rStyle w:val="6"/>
          <w:rFonts w:ascii="宋体" w:hAnsi="宋体" w:eastAsia="仿宋_GB2312"/>
          <w:kern w:val="2"/>
          <w:sz w:val="32"/>
          <w:szCs w:val="24"/>
          <w:lang w:val="en-US" w:eastAsia="zh-CN" w:bidi="ar-SA"/>
        </w:rPr>
        <w:t>商品</w:t>
      </w:r>
      <w:r>
        <w:rPr>
          <w:rStyle w:val="6"/>
          <w:rFonts w:hint="eastAsia" w:ascii="宋体" w:hAnsi="宋体"/>
          <w:kern w:val="2"/>
          <w:sz w:val="32"/>
          <w:szCs w:val="24"/>
          <w:lang w:val="en-US" w:eastAsia="zh-CN" w:bidi="ar-SA"/>
        </w:rPr>
        <w:t>住宅如涉及装修方面</w:t>
      </w:r>
      <w:r>
        <w:rPr>
          <w:rStyle w:val="6"/>
          <w:rFonts w:ascii="宋体" w:hAnsi="宋体" w:eastAsia="仿宋_GB2312"/>
          <w:kern w:val="2"/>
          <w:sz w:val="32"/>
          <w:szCs w:val="24"/>
          <w:lang w:val="en-US" w:eastAsia="zh-CN" w:bidi="ar-SA"/>
        </w:rPr>
        <w:t>应根据莆政办〔20</w:t>
      </w:r>
      <w:r>
        <w:rPr>
          <w:rStyle w:val="6"/>
          <w:rFonts w:hint="eastAsia" w:ascii="宋体" w:hAnsi="宋体"/>
          <w:kern w:val="2"/>
          <w:sz w:val="32"/>
          <w:szCs w:val="24"/>
          <w:lang w:val="en-US" w:eastAsia="zh-CN" w:bidi="ar-SA"/>
        </w:rPr>
        <w:t>21</w:t>
      </w:r>
      <w:r>
        <w:rPr>
          <w:rStyle w:val="6"/>
          <w:rFonts w:ascii="宋体" w:hAnsi="宋体" w:eastAsia="仿宋_GB2312"/>
          <w:kern w:val="2"/>
          <w:sz w:val="32"/>
          <w:szCs w:val="24"/>
          <w:lang w:val="en-US" w:eastAsia="zh-CN" w:bidi="ar-SA"/>
        </w:rPr>
        <w:t>〕</w:t>
      </w:r>
      <w:r>
        <w:rPr>
          <w:rStyle w:val="6"/>
          <w:rFonts w:hint="eastAsia" w:ascii="宋体" w:hAnsi="宋体"/>
          <w:kern w:val="2"/>
          <w:sz w:val="32"/>
          <w:szCs w:val="24"/>
          <w:lang w:val="en-US" w:eastAsia="zh-CN" w:bidi="ar-SA"/>
        </w:rPr>
        <w:t>3</w:t>
      </w:r>
      <w:r>
        <w:rPr>
          <w:rStyle w:val="6"/>
          <w:rFonts w:ascii="宋体" w:hAnsi="宋体" w:eastAsia="仿宋_GB2312"/>
          <w:kern w:val="2"/>
          <w:sz w:val="32"/>
          <w:szCs w:val="24"/>
          <w:lang w:val="en-US" w:eastAsia="zh-CN" w:bidi="ar-SA"/>
        </w:rPr>
        <w:t>号文件</w:t>
      </w:r>
      <w:r>
        <w:rPr>
          <w:rStyle w:val="6"/>
          <w:rFonts w:hint="eastAsia" w:ascii="宋体" w:hAnsi="宋体"/>
          <w:kern w:val="2"/>
          <w:sz w:val="32"/>
          <w:szCs w:val="24"/>
          <w:lang w:val="en-US" w:eastAsia="zh-CN" w:bidi="ar-SA"/>
        </w:rPr>
        <w:t>相关</w:t>
      </w:r>
      <w:r>
        <w:rPr>
          <w:rStyle w:val="6"/>
          <w:rFonts w:ascii="宋体" w:hAnsi="宋体" w:eastAsia="仿宋_GB2312"/>
          <w:kern w:val="2"/>
          <w:sz w:val="32"/>
          <w:szCs w:val="24"/>
          <w:lang w:val="en-US" w:eastAsia="zh-CN" w:bidi="ar-SA"/>
        </w:rPr>
        <w:t>规定</w:t>
      </w:r>
      <w:r>
        <w:rPr>
          <w:rStyle w:val="6"/>
          <w:rFonts w:hint="eastAsia" w:ascii="宋体" w:hAnsi="宋体"/>
          <w:kern w:val="2"/>
          <w:sz w:val="32"/>
          <w:szCs w:val="24"/>
          <w:lang w:val="en-US" w:eastAsia="zh-CN" w:bidi="ar-SA"/>
        </w:rPr>
        <w:t>执行,装修部分的建筑面积不得超过该地块商品住宅总建筑面积（不含安置型商品住宅）的50%，且同一栋楼的性质必须一致，具体在初次提交的预售方案中予以明确；</w:t>
      </w:r>
      <w:r>
        <w:rPr>
          <w:rStyle w:val="6"/>
          <w:rFonts w:ascii="宋体" w:hAnsi="宋体" w:eastAsia="仿宋_GB2312"/>
          <w:kern w:val="2"/>
          <w:sz w:val="32"/>
          <w:szCs w:val="24"/>
          <w:lang w:val="en-US" w:eastAsia="zh-CN" w:bidi="ar-SA"/>
        </w:rPr>
        <w:t>②该地块中商品房（毛坯）的最高销售均价</w:t>
      </w:r>
      <w:r>
        <w:rPr>
          <w:rStyle w:val="6"/>
          <w:rFonts w:hint="eastAsia" w:ascii="宋体" w:hAnsi="宋体"/>
          <w:kern w:val="2"/>
          <w:sz w:val="32"/>
          <w:szCs w:val="24"/>
          <w:lang w:val="en-US" w:eastAsia="zh-CN" w:bidi="ar-SA"/>
        </w:rPr>
        <w:t>不超过</w:t>
      </w:r>
      <w:r>
        <w:rPr>
          <w:rStyle w:val="6"/>
          <w:rFonts w:ascii="宋体" w:hAnsi="宋体" w:eastAsia="仿宋_GB2312"/>
          <w:kern w:val="2"/>
          <w:sz w:val="32"/>
          <w:szCs w:val="24"/>
          <w:lang w:val="en-US" w:eastAsia="zh-CN" w:bidi="ar-SA"/>
        </w:rPr>
        <w:t>9</w:t>
      </w:r>
      <w:r>
        <w:rPr>
          <w:rStyle w:val="6"/>
          <w:rFonts w:hint="eastAsia" w:ascii="宋体" w:hAnsi="宋体"/>
          <w:kern w:val="2"/>
          <w:sz w:val="32"/>
          <w:szCs w:val="24"/>
          <w:lang w:val="en-US" w:eastAsia="zh-CN" w:bidi="ar-SA"/>
        </w:rPr>
        <w:t>900</w:t>
      </w:r>
      <w:r>
        <w:rPr>
          <w:rStyle w:val="6"/>
          <w:rFonts w:ascii="宋体" w:hAnsi="宋体" w:eastAsia="仿宋_GB2312"/>
          <w:kern w:val="2"/>
          <w:sz w:val="32"/>
          <w:szCs w:val="24"/>
          <w:lang w:val="en-US" w:eastAsia="zh-CN" w:bidi="ar-SA"/>
        </w:rPr>
        <w:t>元/平方米。</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4、装配式建造的建筑面积应根据莆政办〔2018〕17号文件的要求执行。</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五、拍卖地块条件</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本地块按现状公开拍卖方式有偿出让，竞买人应自行现场踏勘拍卖地块。红线范围内若有不可见的地下埋藏物需要迁移的,由受让人自行办理并承担费用。</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六、拍卖时间和形式</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在拍卖出让方案经县政府批准后，拍卖公告按规定提前二十天在有关媒体上刊登 。</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起始价</w:t>
      </w:r>
      <w:r>
        <w:rPr>
          <w:rStyle w:val="6"/>
          <w:rFonts w:hint="eastAsia" w:ascii="宋体" w:hAnsi="宋体"/>
          <w:kern w:val="2"/>
          <w:sz w:val="32"/>
          <w:szCs w:val="24"/>
          <w:lang w:val="en-US" w:eastAsia="zh-CN" w:bidi="ar-SA"/>
        </w:rPr>
        <w:t>21700</w:t>
      </w:r>
      <w:r>
        <w:rPr>
          <w:rStyle w:val="6"/>
          <w:rFonts w:ascii="宋体" w:hAnsi="宋体" w:eastAsia="仿宋_GB2312"/>
          <w:kern w:val="2"/>
          <w:sz w:val="32"/>
          <w:szCs w:val="24"/>
          <w:lang w:val="en-US" w:eastAsia="zh-CN" w:bidi="ar-SA"/>
        </w:rPr>
        <w:t>万元，加价幅度</w:t>
      </w:r>
      <w:r>
        <w:rPr>
          <w:rStyle w:val="6"/>
          <w:rFonts w:hint="eastAsia" w:ascii="宋体" w:hAnsi="宋体"/>
          <w:kern w:val="2"/>
          <w:sz w:val="32"/>
          <w:szCs w:val="24"/>
          <w:lang w:val="en-US" w:eastAsia="zh-CN" w:bidi="ar-SA"/>
        </w:rPr>
        <w:t>2</w:t>
      </w:r>
      <w:r>
        <w:rPr>
          <w:rStyle w:val="6"/>
          <w:rFonts w:ascii="宋体" w:hAnsi="宋体" w:eastAsia="仿宋_GB2312"/>
          <w:kern w:val="2"/>
          <w:sz w:val="32"/>
          <w:szCs w:val="24"/>
          <w:lang w:val="en-US" w:eastAsia="zh-CN" w:bidi="ar-SA"/>
        </w:rPr>
        <w:t>00万元或</w:t>
      </w:r>
      <w:r>
        <w:rPr>
          <w:rStyle w:val="6"/>
          <w:rFonts w:hint="eastAsia" w:ascii="宋体" w:hAnsi="宋体"/>
          <w:kern w:val="2"/>
          <w:sz w:val="32"/>
          <w:szCs w:val="24"/>
          <w:lang w:val="en-US" w:eastAsia="zh-CN" w:bidi="ar-SA"/>
        </w:rPr>
        <w:t>2</w:t>
      </w:r>
      <w:r>
        <w:rPr>
          <w:rStyle w:val="6"/>
          <w:rFonts w:ascii="宋体" w:hAnsi="宋体" w:eastAsia="仿宋_GB2312"/>
          <w:kern w:val="2"/>
          <w:sz w:val="32"/>
          <w:szCs w:val="24"/>
          <w:lang w:val="en-US" w:eastAsia="zh-CN" w:bidi="ar-SA"/>
        </w:rPr>
        <w:t>00万元整数倍，拍卖保留价另行确定。</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该宗地采取“限地价+控房价+公证摇号”方式出让。地价最高限制价格为</w:t>
      </w:r>
      <w:r>
        <w:rPr>
          <w:rStyle w:val="6"/>
          <w:rFonts w:hint="eastAsia" w:ascii="宋体" w:hAnsi="宋体"/>
          <w:kern w:val="2"/>
          <w:sz w:val="32"/>
          <w:szCs w:val="24"/>
          <w:lang w:val="en-US" w:eastAsia="zh-CN" w:bidi="ar-SA"/>
        </w:rPr>
        <w:t>32064</w:t>
      </w:r>
      <w:r>
        <w:rPr>
          <w:rStyle w:val="6"/>
          <w:rFonts w:ascii="宋体" w:hAnsi="宋体" w:eastAsia="仿宋_GB2312"/>
          <w:kern w:val="2"/>
          <w:sz w:val="32"/>
          <w:szCs w:val="24"/>
          <w:lang w:val="en-US" w:eastAsia="zh-CN" w:bidi="ar-SA"/>
        </w:rPr>
        <w:t>万元，若竞买人报价没有超过最高限制地价的，按报价高者确定为竞得人；当报价达到最高限制地价后，竞买方式转为公证摇号。凡接受最高限制地价的竞买人均可继续参与竞买，采取公证摇号方式确定竞得人。摇号方式详见拍卖须知。</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七、竞买对象及条件</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（一）竞买申请人同时具备以下条件的方能参与土地竞买：</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1.实行“网络报名，现场审核，现场交易”制度，所有竞买人必须通过“《福建省土地使用权出让管理系统》（网上交易模块）新系统试运行”进行注册登记并按系统要求提交申请，并按公告通知时间携带相应申请材料（一式两份且应与网上提交申请材料相符）准时前往仙游县行政服务中心管委会312室进行现场资格审核，审核结束后随即进行现场交易。在仙游县境内尚欠土地出让金者，不予申请竞买。</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2.竞买申请人只可单独竞买，不得联合竞买。</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3.竞买申请人须全面阅读本拍卖出让方案，一经提交申请资格审查，视为对拍卖出让方案及地块现状无异议并全面接受，在现场资格审核后签订现状确认书。拍卖成交后，竞得人对拍卖地块提出异议的，概不受理。</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（二）竞买保证金注意事项：</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1.中华人民共和国境内外的法人、自然人或其他组织，在交付竞买保证金</w:t>
      </w:r>
      <w:r>
        <w:rPr>
          <w:rStyle w:val="6"/>
          <w:rFonts w:hint="eastAsia" w:ascii="宋体" w:hAnsi="宋体"/>
          <w:kern w:val="2"/>
          <w:sz w:val="32"/>
          <w:szCs w:val="24"/>
          <w:lang w:val="en-US" w:eastAsia="zh-CN" w:bidi="ar-SA"/>
        </w:rPr>
        <w:t>4340</w:t>
      </w:r>
      <w:r>
        <w:rPr>
          <w:rStyle w:val="6"/>
          <w:rFonts w:ascii="宋体" w:hAnsi="宋体" w:eastAsia="仿宋_GB2312"/>
          <w:kern w:val="2"/>
          <w:sz w:val="32"/>
          <w:szCs w:val="24"/>
          <w:lang w:val="en-US" w:eastAsia="zh-CN" w:bidi="ar-SA"/>
        </w:rPr>
        <w:t>万元人民币之后（竞买申请人须出具承诺书保证支付的竞买保证金不属于房地产开发贷款、银行理财、募集、发行债券、信托计划、资产管理计划等融资资金，涉及购地的全部资金均为本单位（人）合规自有资金。如该地块竞得人虚假提供或隐瞒事实出具上述承诺书的，出让人将取消竞得人的竞得资格，已缴纳的竞买保证金不予返还；已签订《国有建设用地使用权出让合同》的，出让人解除《国有建设用地使用权出让合同》并收回土地，定金不予返还），均可按指定的时间和场合参加竞买。</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2.开户名称：仙游县自然资源局</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开户行:邮政储蓄银行仙游</w:t>
      </w:r>
      <w:r>
        <w:rPr>
          <w:rStyle w:val="6"/>
          <w:rFonts w:hint="eastAsia" w:ascii="宋体" w:hAnsi="宋体"/>
          <w:kern w:val="2"/>
          <w:sz w:val="32"/>
          <w:szCs w:val="24"/>
          <w:lang w:val="en-US" w:eastAsia="zh-CN" w:bidi="ar-SA"/>
        </w:rPr>
        <w:t>县</w:t>
      </w:r>
      <w:r>
        <w:rPr>
          <w:rStyle w:val="6"/>
          <w:rFonts w:ascii="宋体" w:hAnsi="宋体" w:eastAsia="仿宋_GB2312"/>
          <w:kern w:val="2"/>
          <w:sz w:val="32"/>
          <w:szCs w:val="24"/>
          <w:lang w:val="en-US" w:eastAsia="zh-CN" w:bidi="ar-SA"/>
        </w:rPr>
        <w:t xml:space="preserve">支行    </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账号:935008010011918936；</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开户行：</w:t>
      </w:r>
      <w:r>
        <w:rPr>
          <w:rStyle w:val="6"/>
          <w:rFonts w:hint="eastAsia" w:ascii="宋体" w:hAnsi="宋体"/>
          <w:kern w:val="2"/>
          <w:sz w:val="32"/>
          <w:szCs w:val="24"/>
          <w:lang w:val="en-US" w:eastAsia="zh-CN" w:bidi="ar-SA"/>
        </w:rPr>
        <w:t>福建仙游农村商业银行</w:t>
      </w:r>
      <w:r>
        <w:rPr>
          <w:rStyle w:val="6"/>
          <w:rFonts w:ascii="宋体" w:hAnsi="宋体" w:eastAsia="仿宋_GB2312"/>
          <w:kern w:val="2"/>
          <w:sz w:val="32"/>
          <w:szCs w:val="24"/>
          <w:lang w:val="en-US" w:eastAsia="zh-CN" w:bidi="ar-SA"/>
        </w:rPr>
        <w:t>营业部</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账号：9040610010010000200166；</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开户行:工商银行莆田燕顶支行 </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账号:1405504119000007894；</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开户行:民生银行莆田仙游鲤中支行    </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账号:630737196；</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开户行:福建海峡银行仙游支行    </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账号:100057656120010001；</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开户行:建设银行仙游支行    </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账号:35050163630700001938。</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所有竞买申请人必须以仙游县行政服务中心管委会统一制作编号的竞价标志牌竞相应价，竞投土地使用权，价高者得。</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四）土地竞买申请人在竞得土地使用权后，应在仙游县注册成立独立核算的具有开发资质项目开发公司，在仙游县税务部门依法纳税，建设施工单位亦应在仙游县税务部门依法纳税（含企业所得税）。土地出让人可以根据拍卖出让结果，先与土地竞得人签订《国有建设用地使用权出让合同》，在土地竞得人按约定（应自土地使用权出让合同签订之日起90日内）办理完独立核算的项目开发公司后，再与独立核算的项目开发公司签订《国有建设用地使用权出让</w:t>
      </w:r>
      <w:r>
        <w:rPr>
          <w:rStyle w:val="6"/>
          <w:rFonts w:hint="eastAsia" w:ascii="宋体" w:hAnsi="宋体"/>
          <w:kern w:val="2"/>
          <w:sz w:val="32"/>
          <w:szCs w:val="24"/>
          <w:lang w:val="en-US" w:eastAsia="zh-CN" w:bidi="ar-SA"/>
        </w:rPr>
        <w:t>补充</w:t>
      </w:r>
      <w:r>
        <w:rPr>
          <w:rStyle w:val="6"/>
          <w:rFonts w:ascii="宋体" w:hAnsi="宋体" w:eastAsia="仿宋_GB2312"/>
          <w:kern w:val="2"/>
          <w:sz w:val="32"/>
          <w:szCs w:val="24"/>
          <w:lang w:val="en-US" w:eastAsia="zh-CN" w:bidi="ar-SA"/>
        </w:rPr>
        <w:t>合同》；也可按约定直接与独立核算的项目开发公司签订《国有建设用地使用权出让合同》。</w:t>
      </w:r>
    </w:p>
    <w:p>
      <w:pPr>
        <w:kinsoku/>
        <w:wordWrap/>
        <w:overflowPunct/>
        <w:autoSpaceDE/>
        <w:autoSpaceDN/>
        <w:bidi w:val="0"/>
        <w:spacing w:line="560" w:lineRule="exact"/>
        <w:ind w:left="0" w:leftChars="0" w:firstLine="640" w:firstLineChars="200"/>
        <w:jc w:val="both"/>
        <w:textAlignment w:val="auto"/>
        <w:rPr>
          <w:rStyle w:val="6"/>
          <w:rFonts w:ascii="黑体" w:hAnsi="黑体" w:eastAsia="黑体"/>
          <w:kern w:val="2"/>
          <w:sz w:val="32"/>
          <w:szCs w:val="24"/>
          <w:lang w:val="en-US" w:eastAsia="zh-CN" w:bidi="ar-SA"/>
        </w:rPr>
      </w:pPr>
      <w:r>
        <w:rPr>
          <w:rStyle w:val="6"/>
          <w:rFonts w:ascii="黑体" w:hAnsi="黑体" w:eastAsia="黑体"/>
          <w:kern w:val="2"/>
          <w:sz w:val="32"/>
          <w:szCs w:val="24"/>
          <w:lang w:val="en-US" w:eastAsia="zh-CN" w:bidi="ar-SA"/>
        </w:rPr>
        <w:t>八、税金费缴纳办法</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 （一）土地竞得人须在土地出让成交后10个工作日内签订《国有建设用地使用权出让合同》，逾期或拒绝签订《国有建设用地使用权出让合同》的，视为违约，土地出让人可取消其竞得资格，竞买保证金不予返还，土地竞得人还须按成交价的20%支付违约金。竞得人须在出让合同签订后1个月内缴纳出让价款50%的首付款，余款须在出让合同签订后2个月内缴清（竞买保证金可直接转为土地出让价款，即抵作土地成交价款）。土地出让价款包括土地成本、前期开发费用、耕地开垦费、农业土地开发资金等。耕地占用税、契税等其它有关的税、金、费由土地竞得人另行缴纳，耕地占用税应在《国有建设用地使用权出让合同》签订之日起30日内缴纳，契税应在《国有建设用地使用权出让合同》签订之日起10日内缴纳。拍卖地块有关产权证件及建设需要审批手续由买受人自行及时办理并承担相关费用。</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二）土地竞得人不得以任何理由和借口拖缴土地出让价款，若逾期未缴清的，自逾期之日起，每日按迟延支付款项的1‰向出让人缴纳滞纳金，逾期付款超过60日，经出让人催交后仍不能缴清土地出让价款的，土地出让人有权收回该幅土地使用权，并解除与土地竞得人签订的《国有建设用地使用权出让合同》，同时不予返还竞买保证金。因土地竞得人违约行为造成另行出让该地块的成交价款低于原拍卖成交价的，土地竞得人还应按实际差额向土地出让人支付赔偿金及向仙游县行政服务中心支付拍卖交易的相关费用。</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 xml:space="preserve"> 九、其他事项</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 1.竞买拍卖地点：仙游县行政服务中心管委会312室。</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 2.网上提交竞买申请及</w:t>
      </w:r>
      <w:r>
        <w:rPr>
          <w:rStyle w:val="6"/>
          <w:rFonts w:hint="eastAsia" w:ascii="宋体" w:hAnsi="宋体"/>
          <w:kern w:val="2"/>
          <w:sz w:val="32"/>
          <w:szCs w:val="24"/>
          <w:lang w:val="en-US" w:eastAsia="zh-CN" w:bidi="ar-SA"/>
        </w:rPr>
        <w:t>保证金缴纳时间为2021年11月2日起至11月11日上午8时50分整截止，</w:t>
      </w:r>
      <w:r>
        <w:rPr>
          <w:rStyle w:val="6"/>
          <w:rFonts w:ascii="宋体" w:hAnsi="宋体" w:eastAsia="仿宋_GB2312"/>
          <w:kern w:val="2"/>
          <w:sz w:val="32"/>
          <w:szCs w:val="24"/>
          <w:lang w:val="en-US" w:eastAsia="zh-CN" w:bidi="ar-SA"/>
        </w:rPr>
        <w:t>拍卖时间</w:t>
      </w:r>
      <w:r>
        <w:rPr>
          <w:rStyle w:val="6"/>
          <w:rFonts w:hint="eastAsia" w:ascii="宋体" w:hAnsi="宋体"/>
          <w:kern w:val="2"/>
          <w:sz w:val="32"/>
          <w:szCs w:val="24"/>
          <w:lang w:val="en-US" w:eastAsia="zh-CN" w:bidi="ar-SA"/>
        </w:rPr>
        <w:t>为2021年11月11日上午9时起</w:t>
      </w:r>
      <w:bookmarkStart w:id="1" w:name="_GoBack"/>
      <w:bookmarkEnd w:id="1"/>
      <w:r>
        <w:rPr>
          <w:rStyle w:val="6"/>
          <w:rFonts w:ascii="宋体" w:hAnsi="宋体" w:eastAsia="仿宋_GB2312"/>
          <w:kern w:val="2"/>
          <w:sz w:val="32"/>
          <w:szCs w:val="24"/>
          <w:lang w:val="en-US" w:eastAsia="zh-CN" w:bidi="ar-SA"/>
        </w:rPr>
        <w:t>。</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 3.具体内容见网站发布拍卖出让文件，公告内容若与出让文件内容不一致的，以出让方案为准。</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 网址：中国土地市场网（www.landchina.com），仙游县行政服务中心网（http://www.xianyou.gov.cn/ztbzx），福建省土地使用权出让管理系统（网上交易模块）运行网站（由福建省自然资源厅官网登录转跳）。</w:t>
      </w:r>
    </w:p>
    <w:p>
      <w:pPr>
        <w:kinsoku/>
        <w:wordWrap/>
        <w:overflowPunct/>
        <w:autoSpaceDE/>
        <w:autoSpaceDN/>
        <w:bidi w:val="0"/>
        <w:spacing w:line="560" w:lineRule="exact"/>
        <w:ind w:left="0" w:leftChars="0" w:firstLine="640" w:firstLineChars="200"/>
        <w:jc w:val="both"/>
        <w:textAlignment w:val="auto"/>
        <w:rPr>
          <w:lang w:val="en-US" w:eastAsia="zh-CN"/>
        </w:rPr>
      </w:pPr>
      <w:r>
        <w:rPr>
          <w:rStyle w:val="6"/>
          <w:rFonts w:ascii="宋体" w:hAnsi="宋体" w:eastAsia="仿宋_GB2312"/>
          <w:kern w:val="2"/>
          <w:sz w:val="32"/>
          <w:szCs w:val="24"/>
          <w:lang w:val="en-US" w:eastAsia="zh-CN" w:bidi="ar-SA"/>
        </w:rPr>
        <w:t xml:space="preserve"> </w:t>
      </w:r>
      <w:r>
        <w:rPr>
          <w:rStyle w:val="6"/>
          <w:rFonts w:ascii="宋体" w:hAnsi="宋体" w:eastAsia="黑体"/>
          <w:kern w:val="2"/>
          <w:sz w:val="32"/>
          <w:szCs w:val="24"/>
          <w:lang w:val="en-US" w:eastAsia="zh-CN" w:bidi="ar-SA"/>
        </w:rPr>
        <w:t>十、本拍卖出让方案由仙游县自然资源局负责解释。</w:t>
      </w:r>
      <w:bookmarkEnd w:id="0"/>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联系人：郑先生       联系电话：13666918833</w:t>
      </w:r>
    </w:p>
    <w:p/>
    <w:sectPr>
      <w:headerReference r:id="rId3" w:type="default"/>
      <w:footerReference r:id="rId4" w:type="default"/>
      <w:footerReference r:id="rId5" w:type="even"/>
      <w:pgSz w:w="11906" w:h="16838"/>
      <w:pgMar w:top="1417" w:right="1417" w:bottom="1417" w:left="1417" w:header="851" w:footer="992" w:gutter="0"/>
      <w:lnNumType w:countBy="0"/>
      <w:cols w:space="425" w:num="1"/>
      <w:vAlign w:val="top"/>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idowControl/>
      <w:snapToGrid w:val="0"/>
      <w:ind w:right="360"/>
      <w:jc w:val="left"/>
      <w:textAlignment w:val="baseline"/>
      <w:rPr>
        <w:rStyle w:val="6"/>
        <w:rFonts w:ascii="仿宋_GB2312" w:eastAsia="仿宋_GB2312"/>
        <w:kern w:val="2"/>
        <w:sz w:val="28"/>
        <w:szCs w:val="28"/>
        <w:lang w:val="en-US" w:eastAsia="zh-CN" w:bidi="ar-SA"/>
      </w:rPr>
    </w:pPr>
    <w:r>
      <w:rPr>
        <w:rStyle w:val="6"/>
        <w:rFonts w:ascii="仿宋_GB2312" w:eastAsia="仿宋_GB2312"/>
        <w:kern w:val="2"/>
        <w:sz w:val="2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posOffset>3663950</wp:posOffset>
              </wp:positionH>
              <wp:positionV relativeFrom="paragraph">
                <wp:posOffset>-1600200</wp:posOffset>
              </wp:positionV>
              <wp:extent cx="116205" cy="76200"/>
              <wp:effectExtent l="0" t="0" r="0" b="0"/>
              <wp:wrapNone/>
              <wp:docPr id="1" name="文本框 1025"/>
              <wp:cNvGraphicFramePr/>
              <a:graphic xmlns:a="http://schemas.openxmlformats.org/drawingml/2006/main">
                <a:graphicData uri="http://schemas.microsoft.com/office/word/2010/wordprocessingShape">
                  <wps:wsp>
                    <wps:cNvSpPr txBox="1"/>
                    <wps:spPr>
                      <a:xfrm rot="9840000">
                        <a:off x="0" y="0"/>
                        <a:ext cx="116205" cy="76200"/>
                      </a:xfrm>
                      <a:prstGeom prst="rect">
                        <a:avLst/>
                      </a:prstGeom>
                      <a:noFill/>
                      <a:ln>
                        <a:noFill/>
                      </a:ln>
                    </wps:spPr>
                    <wps:txbx>
                      <w:txbxContent>
                        <w:p>
                          <w:pPr>
                            <w:pStyle w:val="2"/>
                            <w:widowControl/>
                            <w:snapToGrid w:val="0"/>
                            <w:jc w:val="left"/>
                            <w:textAlignment w:val="baseline"/>
                            <w:rPr>
                              <w:rStyle w:val="7"/>
                              <w:rFonts w:ascii="宋体" w:hAnsi="宋体" w:eastAsia="宋体"/>
                              <w:kern w:val="2"/>
                              <w:sz w:val="24"/>
                              <w:szCs w:val="24"/>
                              <w:lang w:val="en-US" w:eastAsia="zh-CN" w:bidi="ar-SA"/>
                            </w:rPr>
                          </w:pPr>
                          <w:r>
                            <w:rPr>
                              <w:rStyle w:val="7"/>
                              <w:rFonts w:ascii="宋体" w:hAnsi="宋体" w:eastAsia="宋体"/>
                              <w:kern w:val="2"/>
                              <w:sz w:val="24"/>
                              <w:szCs w:val="24"/>
                              <w:lang w:val="en-US" w:eastAsia="zh-CN" w:bidi="ar-SA"/>
                            </w:rPr>
                            <w:t xml:space="preserve">- </w:t>
                          </w:r>
                          <w:r>
                            <w:rPr>
                              <w:rStyle w:val="6"/>
                              <w:rFonts w:ascii="宋体" w:hAnsi="宋体" w:eastAsia="宋体"/>
                              <w:kern w:val="2"/>
                              <w:sz w:val="24"/>
                              <w:szCs w:val="24"/>
                              <w:lang w:val="en-US" w:eastAsia="zh-CN" w:bidi="ar-SA"/>
                            </w:rPr>
                            <w:t xml:space="preserve"> </w:t>
                          </w:r>
                          <w:r>
                            <w:rPr>
                              <w:rStyle w:val="7"/>
                              <w:rFonts w:ascii="宋体" w:hAnsi="宋体" w:eastAsia="宋体"/>
                              <w:kern w:val="2"/>
                              <w:sz w:val="24"/>
                              <w:szCs w:val="24"/>
                              <w:lang w:val="en-US" w:eastAsia="zh-CN" w:bidi="ar-SA"/>
                            </w:rPr>
                            <w:t>-</w:t>
                          </w:r>
                        </w:p>
                        <w:p>
                          <w:pPr>
                            <w:jc w:val="both"/>
                            <w:textAlignment w:val="baseline"/>
                            <w:rPr>
                              <w:rStyle w:val="6"/>
                              <w:rFonts w:ascii="仿宋_GB2312" w:eastAsia="仿宋_GB2312"/>
                              <w:kern w:val="2"/>
                              <w:sz w:val="32"/>
                              <w:szCs w:val="24"/>
                              <w:lang w:val="en-US" w:eastAsia="zh-CN" w:bidi="ar-SA"/>
                            </w:rPr>
                          </w:pPr>
                        </w:p>
                      </w:txbxContent>
                    </wps:txbx>
                    <wps:bodyPr lIns="0" tIns="0" rIns="0" bIns="0" upright="1"/>
                  </wps:wsp>
                </a:graphicData>
              </a:graphic>
            </wp:anchor>
          </w:drawing>
        </mc:Choice>
        <mc:Fallback>
          <w:pict>
            <v:shape id="文本框 1025" o:spid="_x0000_s1026" o:spt="202" type="#_x0000_t202" style="position:absolute;left:0pt;margin-left:288.5pt;margin-top:-126pt;height:6pt;width:9.15pt;mso-position-horizontal-relative:margin;rotation:10747904f;z-index:251659264;mso-width-relative:page;mso-height-relative:page;" filled="f" stroked="f" coordsize="21600,21600" o:gfxdata="UEsDBAoAAAAAAIdO4kAAAAAAAAAAAAAAAAAEAAAAZHJzL1BLAwQUAAAACACHTuJAu+Wlx9wAAAAN&#10;AQAADwAAAGRycy9kb3ducmV2LnhtbE2PzU7DMBCE70i8g7VIXFBrN5CmhDg9gEAcyoHS3t14SVLi&#10;H8VOk7492xPcdndGs98U68l07IR9aJ2VsJgLYGgrp1tbS9h9vc5WwEJUVqvOWZRwxgDr8vqqULl2&#10;o/3E0zbWjEJsyJWEJkafcx6qBo0Kc+fRkvbteqMirX3Nda9GCjcdT4RYcqNaSx8a5fG5wepnOxgJ&#10;QzZ97Pzd5rh8O77s3+vRR3dOpby9WYgnYBGn+GeGCz6hQ0lMBzdYHVgnIc0y6hIlzJI0oYks6WN6&#10;D+xwOT0IAbws+P8W5S9QSwMEFAAAAAgAh07iQNwbyzzEAQAAgQMAAA4AAABkcnMvZTJvRG9jLnht&#10;bK1TQW7bMBC8F8gfCN5ryUaTJoLlAIWRoEDRFkjyAJqiLAIkl1jSlvyB9gc99dJ73+V3dEnJbpte&#10;cqgOxHJ3MLszSy1vB2vYXmHQ4Go+n5WcKSeh0W5b86fHu9fXnIUoXCMMOFXzgwr8dnXxatn7Si2g&#10;A9MoZETiQtX7mncx+qooguyUFWEGXjkqtoBWRLritmhQ9MRuTbEoy6uiB2w8glQhUHY9FvnEiC8h&#10;hLbVUq1B7qxycWRFZUQkSaHTPvBVnrZtlYyf2jaoyEzNSWnMJzWheJPOYrUU1RaF77ScRhAvGeGZ&#10;Jiu0o6ZnqrWIgu1Q/0NltUQI0MaZBFuMQrIjpGJePvPmoRNeZS1kdfBn08P/o5Uf95+R6YZeAmdO&#10;WFr48dvX4/efxx9f2LxcXCaHeh8qAj54gsbhHQwJPeUDJZPwoUXLEMjgm+s3JX3ZDhLICE1uH85u&#10;qyEymSjmV4vykjNJpbcU5mUUI1Ni9BjivQLLUlBzpF1mTrH/ECJ1J+gJkuAO7rQxeZ/G/ZUgYMoU&#10;ScY4borisBkmDRtoDiTNvHfkbHolpwBPweYU7DzqbUfjZAMyJW0mDzO9orT6P++58e8/Z/U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u+Wlx9wAAAANAQAADwAAAAAAAAABACAAAAAiAAAAZHJzL2Rv&#10;d25yZXYueG1sUEsBAhQAFAAAAAgAh07iQNwbyzzEAQAAgQMAAA4AAAAAAAAAAQAgAAAAKwEAAGRy&#10;cy9lMm9Eb2MueG1sUEsFBgAAAAAGAAYAWQEAAGEFAAAAAA==&#10;">
              <v:fill on="f" focussize="0,0"/>
              <v:stroke on="f"/>
              <v:imagedata o:title=""/>
              <o:lock v:ext="edit" aspectratio="f"/>
              <v:textbox inset="0mm,0mm,0mm,0mm">
                <w:txbxContent>
                  <w:p>
                    <w:pPr>
                      <w:pStyle w:val="2"/>
                      <w:widowControl/>
                      <w:snapToGrid w:val="0"/>
                      <w:jc w:val="left"/>
                      <w:textAlignment w:val="baseline"/>
                      <w:rPr>
                        <w:rStyle w:val="7"/>
                        <w:rFonts w:ascii="宋体" w:hAnsi="宋体" w:eastAsia="宋体"/>
                        <w:kern w:val="2"/>
                        <w:sz w:val="24"/>
                        <w:szCs w:val="24"/>
                        <w:lang w:val="en-US" w:eastAsia="zh-CN" w:bidi="ar-SA"/>
                      </w:rPr>
                    </w:pPr>
                    <w:r>
                      <w:rPr>
                        <w:rStyle w:val="7"/>
                        <w:rFonts w:ascii="宋体" w:hAnsi="宋体" w:eastAsia="宋体"/>
                        <w:kern w:val="2"/>
                        <w:sz w:val="24"/>
                        <w:szCs w:val="24"/>
                        <w:lang w:val="en-US" w:eastAsia="zh-CN" w:bidi="ar-SA"/>
                      </w:rPr>
                      <w:t xml:space="preserve">- </w:t>
                    </w:r>
                    <w:r>
                      <w:rPr>
                        <w:rStyle w:val="6"/>
                        <w:rFonts w:ascii="宋体" w:hAnsi="宋体" w:eastAsia="宋体"/>
                        <w:kern w:val="2"/>
                        <w:sz w:val="24"/>
                        <w:szCs w:val="24"/>
                        <w:lang w:val="en-US" w:eastAsia="zh-CN" w:bidi="ar-SA"/>
                      </w:rPr>
                      <w:t xml:space="preserve"> </w:t>
                    </w:r>
                    <w:r>
                      <w:rPr>
                        <w:rStyle w:val="7"/>
                        <w:rFonts w:ascii="宋体" w:hAnsi="宋体" w:eastAsia="宋体"/>
                        <w:kern w:val="2"/>
                        <w:sz w:val="24"/>
                        <w:szCs w:val="24"/>
                        <w:lang w:val="en-US" w:eastAsia="zh-CN" w:bidi="ar-SA"/>
                      </w:rPr>
                      <w:t>-</w:t>
                    </w:r>
                  </w:p>
                  <w:p>
                    <w:pPr>
                      <w:jc w:val="both"/>
                      <w:textAlignment w:val="baseline"/>
                      <w:rPr>
                        <w:rStyle w:val="6"/>
                        <w:rFonts w:ascii="仿宋_GB2312" w:eastAsia="仿宋_GB2312"/>
                        <w:kern w:val="2"/>
                        <w:sz w:val="32"/>
                        <w:szCs w:val="24"/>
                        <w:lang w:val="en-US" w:eastAsia="zh-CN" w:bidi="ar-SA"/>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center" w:y="1"/>
      <w:widowControl/>
      <w:snapToGrid w:val="0"/>
      <w:jc w:val="left"/>
      <w:textAlignment w:val="baseline"/>
      <w:rPr>
        <w:rStyle w:val="7"/>
        <w:rFonts w:ascii="仿宋_GB2312" w:eastAsia="仿宋_GB2312"/>
        <w:kern w:val="2"/>
        <w:sz w:val="18"/>
        <w:szCs w:val="18"/>
        <w:lang w:val="en-US" w:eastAsia="zh-CN" w:bidi="ar-SA"/>
      </w:rPr>
    </w:pPr>
  </w:p>
  <w:p>
    <w:pPr>
      <w:pStyle w:val="2"/>
      <w:widowControl/>
      <w:snapToGrid w:val="0"/>
      <w:ind w:right="360"/>
      <w:jc w:val="left"/>
      <w:textAlignment w:val="baseline"/>
      <w:rPr>
        <w:rStyle w:val="6"/>
        <w:rFonts w:ascii="仿宋_GB2312" w:eastAsia="仿宋_GB2312"/>
        <w:kern w:val="2"/>
        <w:sz w:val="18"/>
        <w:szCs w:val="18"/>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C842FC"/>
    <w:rsid w:val="0323310C"/>
    <w:rsid w:val="08FD0791"/>
    <w:rsid w:val="0EC842FC"/>
    <w:rsid w:val="126C4B8E"/>
    <w:rsid w:val="16263E6B"/>
    <w:rsid w:val="1A667A8D"/>
    <w:rsid w:val="1EEF7DD2"/>
    <w:rsid w:val="20C25EA8"/>
    <w:rsid w:val="246541F3"/>
    <w:rsid w:val="268E0391"/>
    <w:rsid w:val="296559A6"/>
    <w:rsid w:val="2B6D3B09"/>
    <w:rsid w:val="2E096C84"/>
    <w:rsid w:val="32D97FB8"/>
    <w:rsid w:val="346A0392"/>
    <w:rsid w:val="34F77E43"/>
    <w:rsid w:val="37FC393F"/>
    <w:rsid w:val="396232C1"/>
    <w:rsid w:val="39AB0EB6"/>
    <w:rsid w:val="39F00B32"/>
    <w:rsid w:val="445C13D7"/>
    <w:rsid w:val="4D5B26A4"/>
    <w:rsid w:val="508D6370"/>
    <w:rsid w:val="53DA4EE2"/>
    <w:rsid w:val="56306C33"/>
    <w:rsid w:val="5D0C3926"/>
    <w:rsid w:val="5E5A71C7"/>
    <w:rsid w:val="5EF81937"/>
    <w:rsid w:val="5FA04A43"/>
    <w:rsid w:val="6484186F"/>
    <w:rsid w:val="69FD3E6C"/>
    <w:rsid w:val="6E0B2112"/>
    <w:rsid w:val="6EF62EBE"/>
    <w:rsid w:val="6F2B0078"/>
    <w:rsid w:val="73FE3C69"/>
    <w:rsid w:val="75543985"/>
    <w:rsid w:val="76517028"/>
    <w:rsid w:val="7A1E1D81"/>
    <w:rsid w:val="7ACC2C7D"/>
    <w:rsid w:val="7D3B21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7"/>
    <w:qFormat/>
    <w:uiPriority w:val="0"/>
    <w:pPr>
      <w:jc w:val="both"/>
      <w:textAlignment w:val="baseline"/>
    </w:pPr>
    <w:rPr>
      <w:rFonts w:ascii="仿宋_GB2312" w:hAnsi="Times New Roman" w:eastAsia="仿宋_GB2312"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textAlignment w:val="baseline"/>
    </w:pPr>
    <w:rPr>
      <w:rFonts w:ascii="仿宋_GB2312" w:eastAsia="仿宋_GB2312"/>
      <w:kern w:val="2"/>
      <w:sz w:val="18"/>
      <w:szCs w:val="18"/>
      <w:lang w:val="en-US" w:eastAsia="zh-CN"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NormalCharacter"/>
    <w:link w:val="1"/>
    <w:semiHidden/>
    <w:qFormat/>
    <w:uiPriority w:val="0"/>
    <w:rPr>
      <w:rFonts w:ascii="仿宋_GB2312" w:hAnsi="Times New Roman" w:eastAsia="仿宋_GB2312" w:cs="Times New Roman"/>
      <w:kern w:val="2"/>
      <w:sz w:val="32"/>
      <w:szCs w:val="24"/>
      <w:lang w:val="en-US" w:eastAsia="zh-CN" w:bidi="ar-SA"/>
    </w:rPr>
  </w:style>
  <w:style w:type="character" w:customStyle="1" w:styleId="7">
    <w:name w:val="PageNumber"/>
    <w:basedOn w:val="6"/>
    <w:link w:val="1"/>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2020-12-15T02:34:00Z</dcterms:created>
  <dc:creator>Administrator</dc:creator>
  <cp:lastModifiedBy>Administrator</cp:lastModifiedBy>
  <dcterms:modified xsi:type="dcterms:W3CDTF">2021-10-21T08:45:38Z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4ABB0BB69FC54659927C3B71E98F44A7</vt:lpwstr>
  </property>
</Properties>
</file>