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附件</w:t>
      </w:r>
    </w:p>
    <w:p>
      <w:pPr>
        <w:kinsoku/>
        <w:wordWrap/>
        <w:overflowPunct/>
        <w:autoSpaceDE/>
        <w:autoSpaceDN/>
        <w:bidi w:val="0"/>
        <w:spacing w:line="60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bookmarkStart w:id="0" w:name="OLE_LINK1"/>
      <w:r>
        <w:rPr>
          <w:rStyle w:val="6"/>
          <w:rFonts w:ascii="宋体" w:hAnsi="宋体" w:eastAsia="方正小标宋简体"/>
          <w:kern w:val="2"/>
          <w:sz w:val="44"/>
          <w:szCs w:val="44"/>
          <w:lang w:val="en-US" w:eastAsia="zh-CN" w:bidi="ar-SA"/>
        </w:rPr>
        <w:t>仙游县PS-20</w:t>
      </w:r>
      <w:r>
        <w:rPr>
          <w:rStyle w:val="6"/>
          <w:rFonts w:hint="eastAsia" w:ascii="宋体" w:hAnsi="宋体" w:eastAsia="方正小标宋简体"/>
          <w:kern w:val="2"/>
          <w:sz w:val="44"/>
          <w:szCs w:val="44"/>
          <w:lang w:val="en-US" w:eastAsia="zh-CN" w:bidi="ar-SA"/>
        </w:rPr>
        <w:t>21-9</w:t>
      </w:r>
      <w:r>
        <w:rPr>
          <w:rStyle w:val="6"/>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r>
        <w:rPr>
          <w:rStyle w:val="6"/>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根据我县城市建设规划和土地年度供应计划，拟对仙游县PS-20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拍卖出让地块位于仙游县鲤城街道，</w:t>
      </w:r>
      <w:r>
        <w:rPr>
          <w:rFonts w:hint="eastAsia" w:ascii="宋体" w:hAnsi="宋体" w:eastAsia="仿宋" w:cs="仿宋"/>
          <w:sz w:val="32"/>
          <w:szCs w:val="32"/>
        </w:rPr>
        <w:t>东至</w:t>
      </w:r>
      <w:r>
        <w:rPr>
          <w:rFonts w:hint="eastAsia" w:ascii="宋体" w:hAnsi="宋体" w:eastAsia="仿宋" w:cs="仿宋"/>
          <w:sz w:val="32"/>
          <w:szCs w:val="32"/>
          <w:lang w:eastAsia="zh-CN"/>
        </w:rPr>
        <w:t>学园</w:t>
      </w:r>
      <w:r>
        <w:rPr>
          <w:rFonts w:hint="eastAsia" w:ascii="宋体" w:hAnsi="宋体" w:eastAsia="仿宋" w:cs="仿宋"/>
          <w:sz w:val="32"/>
          <w:szCs w:val="32"/>
        </w:rPr>
        <w:t>路，西至</w:t>
      </w:r>
      <w:r>
        <w:rPr>
          <w:rFonts w:hint="eastAsia" w:ascii="宋体" w:hAnsi="宋体" w:eastAsia="仿宋" w:cs="仿宋"/>
          <w:sz w:val="32"/>
          <w:szCs w:val="32"/>
          <w:lang w:eastAsia="zh-CN"/>
        </w:rPr>
        <w:t>东二环</w:t>
      </w:r>
      <w:r>
        <w:rPr>
          <w:rFonts w:hint="eastAsia" w:ascii="宋体" w:hAnsi="宋体" w:eastAsia="仿宋" w:cs="仿宋"/>
          <w:sz w:val="32"/>
          <w:szCs w:val="32"/>
        </w:rPr>
        <w:t>路，南至规划路，北至规划</w:t>
      </w:r>
      <w:r>
        <w:rPr>
          <w:rFonts w:hint="eastAsia" w:ascii="宋体" w:hAnsi="宋体" w:eastAsia="仿宋" w:cs="仿宋"/>
          <w:sz w:val="32"/>
          <w:szCs w:val="32"/>
          <w:lang w:eastAsia="zh-CN"/>
        </w:rPr>
        <w:t>地块</w:t>
      </w:r>
      <w:r>
        <w:rPr>
          <w:rFonts w:hint="eastAsia" w:ascii="仿宋_GB2312" w:eastAsia="仿宋_GB2312"/>
          <w:sz w:val="32"/>
          <w:szCs w:val="32"/>
        </w:rPr>
        <w:t>。</w:t>
      </w:r>
      <w:r>
        <w:rPr>
          <w:rStyle w:val="6"/>
          <w:rFonts w:ascii="宋体" w:hAnsi="宋体" w:eastAsia="仿宋_GB2312"/>
          <w:kern w:val="2"/>
          <w:sz w:val="32"/>
          <w:szCs w:val="24"/>
          <w:lang w:val="en-US" w:eastAsia="zh-CN" w:bidi="ar-SA"/>
        </w:rPr>
        <w:t>宗地编号为PS-20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号。用地总面积为</w:t>
      </w:r>
      <w:r>
        <w:rPr>
          <w:rFonts w:hint="eastAsia"/>
          <w:color w:val="auto"/>
          <w:u w:val="none"/>
          <w:lang w:val="en-US" w:eastAsia="zh-CN"/>
        </w:rPr>
        <w:t>39459.1平方米</w:t>
      </w:r>
      <w:r>
        <w:rPr>
          <w:rStyle w:val="6"/>
          <w:rFonts w:ascii="宋体" w:hAnsi="宋体" w:eastAsia="仿宋_GB2312"/>
          <w:kern w:val="2"/>
          <w:sz w:val="32"/>
          <w:szCs w:val="24"/>
          <w:lang w:val="en-US" w:eastAsia="zh-CN" w:bidi="ar-SA"/>
        </w:rPr>
        <w:t>，实际拍卖出让土地面积</w:t>
      </w:r>
      <w:r>
        <w:rPr>
          <w:rFonts w:hint="eastAsia"/>
          <w:color w:val="auto"/>
          <w:u w:val="none"/>
          <w:lang w:val="en-US" w:eastAsia="zh-CN"/>
        </w:rPr>
        <w:t>3.9459</w:t>
      </w:r>
      <w:r>
        <w:rPr>
          <w:rStyle w:val="6"/>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（一）拍卖地块的规划用途为：商服用地--零售商业用地（商店、商场）、住宅用地--城镇住宅用地（普通商品房）及服务设施用地。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（二）土地使用权出让年限为商服用地--零售商业用地（商店、商场）40年、住宅用地--城镇住宅用地（普通商品房）及服务设施用地70年，自土地使用权交付之日起算。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土地交付时间：自《国有建设用地使用权出让合同》签订之日起两个月内交付土地使用权，土地竞得人应在《国有建设用地使用权出让合同》签订之日起两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（四）土地建设时间：土地竞得人在土地交付之日起</w:t>
      </w:r>
      <w:r>
        <w:rPr>
          <w:rStyle w:val="6"/>
          <w:rFonts w:hint="eastAsia" w:ascii="宋体" w:hAnsi="宋体"/>
          <w:kern w:val="2"/>
          <w:sz w:val="32"/>
          <w:szCs w:val="24"/>
          <w:lang w:val="en-US" w:eastAsia="zh-CN" w:bidi="ar-SA"/>
        </w:rPr>
        <w:t>一年</w:t>
      </w:r>
      <w:r>
        <w:rPr>
          <w:rStyle w:val="6"/>
          <w:rFonts w:ascii="宋体" w:hAnsi="宋体" w:eastAsia="仿宋_GB2312"/>
          <w:kern w:val="2"/>
          <w:sz w:val="32"/>
          <w:szCs w:val="24"/>
          <w:lang w:val="en-US" w:eastAsia="zh-CN" w:bidi="ar-SA"/>
        </w:rPr>
        <w:t>内开工，自开工之日起</w:t>
      </w:r>
      <w:r>
        <w:rPr>
          <w:rStyle w:val="6"/>
          <w:rFonts w:hint="eastAsia" w:ascii="宋体" w:hAnsi="宋体"/>
          <w:kern w:val="2"/>
          <w:sz w:val="32"/>
          <w:szCs w:val="24"/>
          <w:lang w:val="en-US" w:eastAsia="zh-CN" w:bidi="ar-SA"/>
        </w:rPr>
        <w:t>三年</w:t>
      </w:r>
      <w:r>
        <w:rPr>
          <w:rStyle w:val="6"/>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三</w:t>
      </w:r>
      <w:r>
        <w:rPr>
          <w:rStyle w:val="6"/>
          <w:rFonts w:ascii="宋体" w:hAnsi="宋体" w:eastAsia="仿宋_GB2312"/>
          <w:kern w:val="2"/>
          <w:sz w:val="32"/>
          <w:szCs w:val="24"/>
          <w:lang w:val="en-US" w:eastAsia="zh-CN" w:bidi="ar-SA"/>
        </w:rPr>
        <w:t>、</w:t>
      </w:r>
      <w:r>
        <w:rPr>
          <w:rStyle w:val="6"/>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1.1.0＜容积率≤</w:t>
      </w:r>
      <w:r>
        <w:rPr>
          <w:rStyle w:val="6"/>
          <w:rFonts w:hint="eastAsia" w:ascii="宋体" w:hAnsi="宋体"/>
          <w:kern w:val="2"/>
          <w:sz w:val="32"/>
          <w:szCs w:val="24"/>
          <w:lang w:val="en-US" w:eastAsia="zh-CN" w:bidi="ar-SA"/>
        </w:rPr>
        <w:t>2.6</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2.建筑密度≤</w:t>
      </w:r>
      <w:r>
        <w:rPr>
          <w:rStyle w:val="6"/>
          <w:rFonts w:hint="eastAsia" w:ascii="宋体" w:hAnsi="宋体"/>
          <w:kern w:val="2"/>
          <w:sz w:val="32"/>
          <w:szCs w:val="24"/>
          <w:lang w:val="en-US" w:eastAsia="zh-CN" w:bidi="ar-SA"/>
        </w:rPr>
        <w:t>20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3.绿地率≥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4.商服面积≤</w:t>
      </w:r>
      <w:r>
        <w:rPr>
          <w:rStyle w:val="6"/>
          <w:rFonts w:hint="eastAsia" w:ascii="宋体" w:hAnsi="宋体"/>
          <w:kern w:val="2"/>
          <w:sz w:val="32"/>
          <w:szCs w:val="24"/>
          <w:lang w:val="en-US" w:eastAsia="zh-CN" w:bidi="ar-SA"/>
        </w:rPr>
        <w:t>50</w:t>
      </w:r>
      <w:r>
        <w:rPr>
          <w:rStyle w:val="6"/>
          <w:rFonts w:ascii="宋体" w:hAnsi="宋体" w:eastAsia="仿宋_GB2312"/>
          <w:kern w:val="2"/>
          <w:sz w:val="32"/>
          <w:szCs w:val="24"/>
          <w:lang w:val="en-US" w:eastAsia="zh-CN" w:bidi="ar-SA"/>
        </w:rPr>
        <w:t>00平方米；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5.</w:t>
      </w:r>
      <w:r>
        <w:rPr>
          <w:rFonts w:hint="eastAsia" w:ascii="宋体" w:hAnsi="宋体" w:eastAsia="仿宋" w:cs="仿宋"/>
          <w:sz w:val="32"/>
          <w:szCs w:val="32"/>
        </w:rPr>
        <w:t>建筑高度≤</w:t>
      </w:r>
      <w:r>
        <w:rPr>
          <w:rFonts w:hint="eastAsia" w:ascii="宋体" w:hAnsi="宋体" w:eastAsia="仿宋" w:cs="仿宋"/>
          <w:sz w:val="32"/>
          <w:szCs w:val="32"/>
          <w:lang w:val="en-US" w:eastAsia="zh-CN"/>
        </w:rPr>
        <w:t>80</w:t>
      </w:r>
      <w:r>
        <w:rPr>
          <w:rStyle w:val="6"/>
          <w:rFonts w:ascii="宋体" w:hAnsi="宋体" w:eastAsia="仿宋_GB2312"/>
          <w:kern w:val="2"/>
          <w:sz w:val="32"/>
          <w:szCs w:val="24"/>
          <w:lang w:val="en-US" w:eastAsia="zh-CN" w:bidi="ar-SA"/>
        </w:rPr>
        <w:t>米</w:t>
      </w:r>
      <w:r>
        <w:rPr>
          <w:rFonts w:hint="eastAsia" w:ascii="宋体" w:hAnsi="宋体" w:eastAsia="仿宋" w:cs="仿宋"/>
          <w:sz w:val="32"/>
          <w:szCs w:val="32"/>
        </w:rPr>
        <w:t>,</w:t>
      </w:r>
      <w:r>
        <w:rPr>
          <w:rFonts w:hint="eastAsia" w:ascii="仿宋_GB2312" w:eastAsia="仿宋_GB2312"/>
          <w:sz w:val="32"/>
          <w:szCs w:val="32"/>
        </w:rPr>
        <w:t xml:space="preserve"> 住宅建筑层数</w:t>
      </w:r>
      <w:r>
        <w:rPr>
          <w:rFonts w:hint="eastAsia" w:ascii="宋体" w:hAnsi="宋体" w:eastAsia="仿宋" w:cs="仿宋"/>
          <w:sz w:val="32"/>
          <w:szCs w:val="32"/>
        </w:rPr>
        <w:t>≥5层</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color w:val="auto"/>
          <w:kern w:val="2"/>
          <w:sz w:val="32"/>
          <w:szCs w:val="24"/>
          <w:lang w:val="en-US" w:eastAsia="zh-CN" w:bidi="ar-SA"/>
        </w:rPr>
      </w:pPr>
      <w:r>
        <w:rPr>
          <w:rStyle w:val="6"/>
          <w:rFonts w:ascii="宋体" w:hAnsi="宋体" w:eastAsia="仿宋_GB2312"/>
          <w:kern w:val="2"/>
          <w:sz w:val="32"/>
          <w:szCs w:val="24"/>
          <w:lang w:val="en-US" w:eastAsia="zh-CN" w:bidi="ar-SA"/>
        </w:rPr>
        <w:t>1.</w:t>
      </w:r>
      <w:r>
        <w:rPr>
          <w:rStyle w:val="6"/>
          <w:rFonts w:hint="eastAsia" w:ascii="宋体" w:hAnsi="宋体"/>
          <w:kern w:val="2"/>
          <w:sz w:val="32"/>
          <w:szCs w:val="24"/>
          <w:lang w:val="en-US" w:eastAsia="zh-CN" w:bidi="ar-SA"/>
        </w:rPr>
        <w:t>沿街的建筑若</w:t>
      </w:r>
      <w:r>
        <w:rPr>
          <w:rStyle w:val="6"/>
          <w:rFonts w:ascii="宋体" w:hAnsi="宋体" w:eastAsia="仿宋_GB2312"/>
          <w:color w:val="auto"/>
          <w:kern w:val="2"/>
          <w:sz w:val="32"/>
          <w:szCs w:val="24"/>
          <w:lang w:val="en-US" w:eastAsia="zh-CN" w:bidi="ar-SA"/>
        </w:rPr>
        <w:t>设置阳台时不得设置敞开式阳台。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2.养老服务设施按照《仙游县人民政府办公室关于印发仙游县住宅区配建养老服务设施建设、移交与管理工作实施细则的通知》文件要求配建，建筑面积≥</w:t>
      </w:r>
      <w:r>
        <w:rPr>
          <w:rStyle w:val="6"/>
          <w:rFonts w:hint="eastAsia" w:ascii="宋体" w:hAnsi="宋体"/>
          <w:kern w:val="2"/>
          <w:sz w:val="32"/>
          <w:szCs w:val="24"/>
          <w:lang w:val="en-US" w:eastAsia="zh-CN" w:bidi="ar-SA"/>
        </w:rPr>
        <w:t>22</w:t>
      </w:r>
      <w:r>
        <w:rPr>
          <w:rStyle w:val="6"/>
          <w:rFonts w:ascii="宋体" w:hAnsi="宋体" w:eastAsia="仿宋_GB2312"/>
          <w:kern w:val="2"/>
          <w:sz w:val="32"/>
          <w:szCs w:val="24"/>
          <w:lang w:val="en-US" w:eastAsia="zh-CN" w:bidi="ar-SA"/>
        </w:rPr>
        <w:t>0平方米</w:t>
      </w:r>
      <w:r>
        <w:rPr>
          <w:rStyle w:val="6"/>
          <w:rFonts w:hint="eastAsia" w:ascii="宋体" w:hAnsi="宋体"/>
          <w:kern w:val="2"/>
          <w:sz w:val="32"/>
          <w:szCs w:val="24"/>
          <w:lang w:val="en-US" w:eastAsia="zh-CN" w:bidi="ar-SA"/>
        </w:rPr>
        <w:t>,</w:t>
      </w:r>
      <w:r>
        <w:rPr>
          <w:rFonts w:hint="eastAsia" w:ascii="宋体" w:hAnsi="宋体" w:eastAsia="仿宋_GB2312"/>
          <w:bCs/>
          <w:sz w:val="32"/>
          <w:szCs w:val="32"/>
        </w:rPr>
        <w:t>且每百户不少于20㎡，不足百户按百户计</w:t>
      </w:r>
      <w:r>
        <w:rPr>
          <w:rStyle w:val="6"/>
          <w:rFonts w:ascii="宋体" w:hAnsi="宋体" w:eastAsia="仿宋_GB2312"/>
          <w:kern w:val="2"/>
          <w:sz w:val="32"/>
          <w:szCs w:val="24"/>
          <w:lang w:val="en-US" w:eastAsia="zh-CN" w:bidi="ar-SA"/>
        </w:rPr>
        <w:t>。土地竞得人须在签订《国有建设用地使用权出让合同》的同时签订《PS-20</w:t>
      </w:r>
      <w:r>
        <w:rPr>
          <w:rStyle w:val="6"/>
          <w:rFonts w:hint="eastAsia" w:ascii="宋体" w:hAnsi="宋体"/>
          <w:kern w:val="2"/>
          <w:sz w:val="32"/>
          <w:szCs w:val="24"/>
          <w:lang w:val="en-US" w:eastAsia="zh-CN" w:bidi="ar-SA"/>
        </w:rPr>
        <w:t>21-9</w:t>
      </w:r>
      <w:r>
        <w:rPr>
          <w:rStyle w:val="6"/>
          <w:rFonts w:ascii="宋体" w:hAnsi="宋体" w:eastAsia="仿宋_GB2312"/>
          <w:kern w:val="2"/>
          <w:sz w:val="32"/>
          <w:szCs w:val="24"/>
          <w:lang w:val="en-US" w:eastAsia="zh-CN" w:bidi="ar-SA"/>
        </w:rPr>
        <w:t>号地块无偿配建养老服务设施协议书》，配建的养老服务设施不动产产权归仙游县鲤城街道办事处。</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3.根据莆建便函〔202</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253</w:t>
      </w:r>
      <w:r>
        <w:rPr>
          <w:rStyle w:val="6"/>
          <w:rFonts w:ascii="宋体" w:hAnsi="宋体" w:eastAsia="仿宋_GB2312"/>
          <w:kern w:val="2"/>
          <w:sz w:val="32"/>
          <w:szCs w:val="24"/>
          <w:lang w:val="en-US" w:eastAsia="zh-CN" w:bidi="ar-SA"/>
        </w:rPr>
        <w:t>号文件要求：①该</w:t>
      </w:r>
      <w:r>
        <w:rPr>
          <w:rStyle w:val="6"/>
          <w:rFonts w:hint="eastAsia" w:ascii="宋体" w:hAnsi="宋体"/>
          <w:kern w:val="2"/>
          <w:sz w:val="32"/>
          <w:szCs w:val="24"/>
          <w:lang w:val="en-US" w:eastAsia="zh-CN" w:bidi="ar-SA"/>
        </w:rPr>
        <w:t>项目中</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住宅如涉及装修方面</w:t>
      </w:r>
      <w:r>
        <w:rPr>
          <w:rStyle w:val="6"/>
          <w:rFonts w:ascii="宋体" w:hAnsi="宋体" w:eastAsia="仿宋_GB2312"/>
          <w:kern w:val="2"/>
          <w:sz w:val="32"/>
          <w:szCs w:val="24"/>
          <w:lang w:val="en-US" w:eastAsia="zh-CN" w:bidi="ar-SA"/>
        </w:rPr>
        <w:t>应根据莆</w:t>
      </w:r>
      <w:r>
        <w:rPr>
          <w:rStyle w:val="6"/>
          <w:rFonts w:hint="eastAsia" w:ascii="宋体" w:hAnsi="宋体"/>
          <w:kern w:val="2"/>
          <w:sz w:val="32"/>
          <w:szCs w:val="24"/>
          <w:lang w:val="en-US" w:eastAsia="zh-CN" w:bidi="ar-SA"/>
        </w:rPr>
        <w:t>建综</w:t>
      </w:r>
      <w:r>
        <w:rPr>
          <w:rStyle w:val="6"/>
          <w:rFonts w:ascii="宋体" w:hAnsi="宋体" w:eastAsia="仿宋_GB2312"/>
          <w:kern w:val="2"/>
          <w:sz w:val="32"/>
          <w:szCs w:val="24"/>
          <w:lang w:val="en-US" w:eastAsia="zh-CN" w:bidi="ar-SA"/>
        </w:rPr>
        <w:t>〔20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3</w:t>
      </w:r>
      <w:r>
        <w:rPr>
          <w:rStyle w:val="6"/>
          <w:rFonts w:ascii="宋体" w:hAnsi="宋体" w:eastAsia="仿宋_GB2312"/>
          <w:kern w:val="2"/>
          <w:sz w:val="32"/>
          <w:szCs w:val="24"/>
          <w:lang w:val="en-US" w:eastAsia="zh-CN" w:bidi="ar-SA"/>
        </w:rPr>
        <w:t>号文件</w:t>
      </w:r>
      <w:r>
        <w:rPr>
          <w:rStyle w:val="6"/>
          <w:rFonts w:hint="eastAsia" w:ascii="宋体" w:hAnsi="宋体"/>
          <w:kern w:val="2"/>
          <w:sz w:val="32"/>
          <w:szCs w:val="24"/>
          <w:lang w:val="en-US" w:eastAsia="zh-CN" w:bidi="ar-SA"/>
        </w:rPr>
        <w:t>相关</w:t>
      </w:r>
      <w:r>
        <w:rPr>
          <w:rStyle w:val="6"/>
          <w:rFonts w:ascii="宋体" w:hAnsi="宋体" w:eastAsia="仿宋_GB2312"/>
          <w:kern w:val="2"/>
          <w:sz w:val="32"/>
          <w:szCs w:val="24"/>
          <w:lang w:val="en-US" w:eastAsia="zh-CN" w:bidi="ar-SA"/>
        </w:rPr>
        <w:t>规定</w:t>
      </w:r>
      <w:r>
        <w:rPr>
          <w:rStyle w:val="6"/>
          <w:rFonts w:hint="eastAsia" w:ascii="宋体" w:hAnsi="宋体"/>
          <w:kern w:val="2"/>
          <w:sz w:val="32"/>
          <w:szCs w:val="24"/>
          <w:lang w:val="en-US" w:eastAsia="zh-CN" w:bidi="ar-SA"/>
        </w:rPr>
        <w:t>执行,其中全装修单价2000元/平方米以下中等档次装修所占的建筑面积不少于该项目销售（预售）方案报备装修住宅总建筑面积的50%，其余的部分全装修最高单价不得超过2500元/平方米；</w:t>
      </w:r>
      <w:r>
        <w:rPr>
          <w:rStyle w:val="6"/>
          <w:rFonts w:ascii="宋体" w:hAnsi="宋体" w:eastAsia="仿宋_GB2312"/>
          <w:kern w:val="2"/>
          <w:sz w:val="32"/>
          <w:szCs w:val="24"/>
          <w:lang w:val="en-US" w:eastAsia="zh-CN" w:bidi="ar-SA"/>
        </w:rPr>
        <w:t>②该地块</w:t>
      </w:r>
      <w:r>
        <w:rPr>
          <w:rStyle w:val="6"/>
          <w:rFonts w:hint="eastAsia" w:ascii="宋体" w:hAnsi="宋体"/>
          <w:kern w:val="2"/>
          <w:sz w:val="32"/>
          <w:szCs w:val="24"/>
          <w:lang w:val="en-US" w:eastAsia="zh-CN" w:bidi="ar-SA"/>
        </w:rPr>
        <w:t>上</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w:t>
      </w:r>
      <w:r>
        <w:rPr>
          <w:rStyle w:val="6"/>
          <w:rFonts w:ascii="宋体" w:hAnsi="宋体" w:eastAsia="仿宋_GB2312"/>
          <w:kern w:val="2"/>
          <w:sz w:val="32"/>
          <w:szCs w:val="24"/>
          <w:lang w:val="en-US" w:eastAsia="zh-CN" w:bidi="ar-SA"/>
        </w:rPr>
        <w:t>（毛坯）最高销售均价</w:t>
      </w:r>
      <w:r>
        <w:rPr>
          <w:rStyle w:val="6"/>
          <w:rFonts w:hint="eastAsia" w:ascii="宋体" w:hAnsi="宋体"/>
          <w:kern w:val="2"/>
          <w:sz w:val="32"/>
          <w:szCs w:val="24"/>
          <w:lang w:val="en-US" w:eastAsia="zh-CN" w:bidi="ar-SA"/>
        </w:rPr>
        <w:t>不超过</w:t>
      </w:r>
      <w:r>
        <w:rPr>
          <w:rStyle w:val="6"/>
          <w:rFonts w:ascii="宋体" w:hAnsi="宋体" w:eastAsia="仿宋_GB2312"/>
          <w:kern w:val="2"/>
          <w:sz w:val="32"/>
          <w:szCs w:val="24"/>
          <w:lang w:val="en-US" w:eastAsia="zh-CN" w:bidi="ar-SA"/>
        </w:rPr>
        <w:t>9</w:t>
      </w:r>
      <w:r>
        <w:rPr>
          <w:rStyle w:val="6"/>
          <w:rFonts w:hint="eastAsia" w:ascii="宋体" w:hAnsi="宋体"/>
          <w:kern w:val="2"/>
          <w:sz w:val="32"/>
          <w:szCs w:val="24"/>
          <w:lang w:val="en-US" w:eastAsia="zh-CN" w:bidi="ar-SA"/>
        </w:rPr>
        <w:t>000</w:t>
      </w:r>
      <w:r>
        <w:rPr>
          <w:rStyle w:val="6"/>
          <w:rFonts w:ascii="宋体" w:hAnsi="宋体" w:eastAsia="仿宋_GB2312"/>
          <w:kern w:val="2"/>
          <w:sz w:val="32"/>
          <w:szCs w:val="24"/>
          <w:lang w:val="en-US" w:eastAsia="zh-CN" w:bidi="ar-SA"/>
        </w:rPr>
        <w:t>元/平方米</w:t>
      </w:r>
      <w:r>
        <w:rPr>
          <w:rStyle w:val="6"/>
          <w:rFonts w:hint="eastAsia" w:ascii="宋体" w:hAnsi="宋体"/>
          <w:kern w:val="2"/>
          <w:sz w:val="32"/>
          <w:szCs w:val="24"/>
          <w:lang w:val="en-US" w:eastAsia="zh-CN" w:bidi="ar-SA"/>
        </w:rPr>
        <w:t>，该地块可销售车位最高销售价格不超过15万元/个</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4、装配式建造的建筑面积应根据莆政办〔2018〕17号文件的要求执行。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起始价</w:t>
      </w:r>
      <w:r>
        <w:rPr>
          <w:rStyle w:val="6"/>
          <w:rFonts w:hint="eastAsia" w:ascii="宋体" w:hAnsi="宋体"/>
          <w:kern w:val="2"/>
          <w:sz w:val="32"/>
          <w:szCs w:val="24"/>
          <w:lang w:val="en-US" w:eastAsia="zh-CN" w:bidi="ar-SA"/>
        </w:rPr>
        <w:t>29600</w:t>
      </w:r>
      <w:r>
        <w:rPr>
          <w:rStyle w:val="6"/>
          <w:rFonts w:ascii="宋体" w:hAnsi="宋体" w:eastAsia="仿宋_GB2312"/>
          <w:kern w:val="2"/>
          <w:sz w:val="32"/>
          <w:szCs w:val="24"/>
          <w:lang w:val="en-US" w:eastAsia="zh-CN" w:bidi="ar-SA"/>
        </w:rPr>
        <w:t>万元，加价幅度</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00万元或</w:t>
      </w:r>
      <w:r>
        <w:rPr>
          <w:rStyle w:val="6"/>
          <w:rFonts w:hint="eastAsia" w:ascii="宋体" w:hAnsi="宋体"/>
          <w:kern w:val="2"/>
          <w:sz w:val="32"/>
          <w:szCs w:val="24"/>
          <w:lang w:val="en-US" w:eastAsia="zh-CN" w:bidi="ar-SA"/>
        </w:rPr>
        <w:t>2</w:t>
      </w:r>
      <w:r>
        <w:rPr>
          <w:rStyle w:val="6"/>
          <w:rFonts w:ascii="宋体" w:hAnsi="宋体" w:eastAsia="仿宋_GB2312"/>
          <w:kern w:val="2"/>
          <w:sz w:val="32"/>
          <w:szCs w:val="24"/>
          <w:lang w:val="en-US" w:eastAsia="zh-CN" w:bidi="ar-SA"/>
        </w:rPr>
        <w:t>00万元整数倍，拍卖保留价另行确定。</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该宗地采取“限地价+控房价+公证摇号”方式出让。地价最高限制价格为</w:t>
      </w:r>
      <w:r>
        <w:rPr>
          <w:rStyle w:val="6"/>
          <w:rFonts w:hint="eastAsia" w:ascii="宋体" w:hAnsi="宋体"/>
          <w:kern w:val="2"/>
          <w:sz w:val="32"/>
          <w:szCs w:val="24"/>
          <w:lang w:val="en-US" w:eastAsia="zh-CN" w:bidi="ar-SA"/>
        </w:rPr>
        <w:t>44100</w:t>
      </w:r>
      <w:r>
        <w:rPr>
          <w:rStyle w:val="6"/>
          <w:rFonts w:ascii="宋体" w:hAnsi="宋体" w:eastAsia="仿宋_GB2312"/>
          <w:kern w:val="2"/>
          <w:sz w:val="32"/>
          <w:szCs w:val="24"/>
          <w:lang w:val="en-US" w:eastAsia="zh-CN" w:bidi="ar-SA"/>
        </w:rPr>
        <w:t>万元，若竞买人报价没有超过最高限制地价的，按报价高者确定为竞得人；当报价达到最高限制地价后，竞买方式转为公证摇号。凡接受最高限制地价的竞买人均可继续参与竞买，采取公证摇号方式确定竞得人。摇号方式详见拍卖须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1.中华人民共和国境内外的法人、自然人或其他组织，在交付竞买保证金</w:t>
      </w:r>
      <w:r>
        <w:rPr>
          <w:rStyle w:val="6"/>
          <w:rFonts w:hint="eastAsia" w:ascii="宋体" w:hAnsi="宋体"/>
          <w:kern w:val="2"/>
          <w:sz w:val="32"/>
          <w:szCs w:val="24"/>
          <w:lang w:val="en-US" w:eastAsia="zh-CN" w:bidi="ar-SA"/>
        </w:rPr>
        <w:t>5920</w:t>
      </w:r>
      <w:r>
        <w:rPr>
          <w:rStyle w:val="6"/>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2.开户名称：仙游县自然资源局</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开户行:邮政储蓄银行仙游</w:t>
      </w:r>
      <w:r>
        <w:rPr>
          <w:rStyle w:val="6"/>
          <w:rFonts w:hint="eastAsia" w:ascii="宋体" w:hAnsi="宋体"/>
          <w:kern w:val="2"/>
          <w:sz w:val="32"/>
          <w:szCs w:val="24"/>
          <w:lang w:val="en-US" w:eastAsia="zh-CN" w:bidi="ar-SA"/>
        </w:rPr>
        <w:t>县</w:t>
      </w:r>
      <w:r>
        <w:rPr>
          <w:rStyle w:val="6"/>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福建仙游农村商业银行</w:t>
      </w:r>
      <w:r>
        <w:rPr>
          <w:rStyle w:val="6"/>
          <w:rFonts w:ascii="宋体" w:hAnsi="宋体" w:eastAsia="仿宋_GB2312"/>
          <w:kern w:val="2"/>
          <w:sz w:val="32"/>
          <w:szCs w:val="24"/>
          <w:lang w:val="en-US" w:eastAsia="zh-CN" w:bidi="ar-SA"/>
        </w:rPr>
        <w:t>营业部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账号：9040610010010000200166；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账号:35050163630700001938；</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兴业</w:t>
      </w:r>
      <w:r>
        <w:rPr>
          <w:rStyle w:val="6"/>
          <w:rFonts w:ascii="宋体" w:hAnsi="宋体" w:eastAsia="仿宋_GB2312"/>
          <w:kern w:val="2"/>
          <w:sz w:val="32"/>
          <w:szCs w:val="24"/>
          <w:lang w:val="en-US" w:eastAsia="zh-CN" w:bidi="ar-SA"/>
        </w:rPr>
        <w:t>银行</w:t>
      </w:r>
      <w:r>
        <w:rPr>
          <w:rStyle w:val="6"/>
          <w:rFonts w:hint="eastAsia" w:ascii="宋体" w:hAnsi="宋体"/>
          <w:kern w:val="2"/>
          <w:sz w:val="32"/>
          <w:szCs w:val="24"/>
          <w:lang w:val="en-US" w:eastAsia="zh-CN" w:bidi="ar-SA"/>
        </w:rPr>
        <w:t>莆田</w:t>
      </w:r>
      <w:r>
        <w:rPr>
          <w:rStyle w:val="6"/>
          <w:rFonts w:ascii="宋体" w:hAnsi="宋体" w:eastAsia="仿宋_GB2312"/>
          <w:kern w:val="2"/>
          <w:sz w:val="32"/>
          <w:szCs w:val="24"/>
          <w:lang w:val="en-US" w:eastAsia="zh-CN" w:bidi="ar-SA"/>
        </w:rPr>
        <w:t xml:space="preserve">仙游支行    </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w:t>
      </w:r>
      <w:r>
        <w:rPr>
          <w:rStyle w:val="6"/>
          <w:rFonts w:hint="eastAsia" w:ascii="宋体" w:hAnsi="宋体"/>
          <w:kern w:val="2"/>
          <w:sz w:val="32"/>
          <w:szCs w:val="24"/>
          <w:lang w:val="en-US" w:eastAsia="zh-CN" w:bidi="ar-SA"/>
        </w:rPr>
        <w:t>145100100100019205。</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6"/>
          <w:rFonts w:ascii="黑体" w:hAnsi="黑体" w:eastAsia="黑体"/>
          <w:kern w:val="2"/>
          <w:sz w:val="32"/>
          <w:szCs w:val="24"/>
          <w:lang w:val="en-US" w:eastAsia="zh-CN" w:bidi="ar-SA"/>
        </w:rPr>
      </w:pPr>
      <w:r>
        <w:rPr>
          <w:rStyle w:val="6"/>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订后1个月内缴纳出让价款50%的首付款，余款须在出让合同签订后2个月内缴清（竞买保证金可直接转为土地出让价款，即抵作土地成交价款）。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2.网上提交竞买申请及</w:t>
      </w:r>
      <w:r>
        <w:rPr>
          <w:rStyle w:val="6"/>
          <w:rFonts w:hint="eastAsia" w:ascii="宋体" w:hAnsi="宋体"/>
          <w:kern w:val="2"/>
          <w:sz w:val="32"/>
          <w:szCs w:val="24"/>
          <w:lang w:val="en-US" w:eastAsia="zh-CN" w:bidi="ar-SA"/>
        </w:rPr>
        <w:t>保证金缴纳时间为2021年12月13日起至12月21日上午8时50分整截止，</w:t>
      </w:r>
      <w:r>
        <w:rPr>
          <w:rStyle w:val="6"/>
          <w:rFonts w:ascii="宋体" w:hAnsi="宋体" w:eastAsia="仿宋_GB2312"/>
          <w:kern w:val="2"/>
          <w:sz w:val="32"/>
          <w:szCs w:val="24"/>
          <w:lang w:val="en-US" w:eastAsia="zh-CN" w:bidi="ar-SA"/>
        </w:rPr>
        <w:t>拍卖时间</w:t>
      </w:r>
      <w:r>
        <w:rPr>
          <w:rStyle w:val="6"/>
          <w:rFonts w:hint="eastAsia" w:ascii="宋体" w:hAnsi="宋体"/>
          <w:kern w:val="2"/>
          <w:sz w:val="32"/>
          <w:szCs w:val="24"/>
          <w:lang w:val="en-US" w:eastAsia="zh-CN" w:bidi="ar-SA"/>
        </w:rPr>
        <w:t>为2021年12月21</w:t>
      </w:r>
      <w:bookmarkStart w:id="1" w:name="_GoBack"/>
      <w:bookmarkEnd w:id="1"/>
      <w:r>
        <w:rPr>
          <w:rStyle w:val="6"/>
          <w:rFonts w:hint="eastAsia" w:ascii="宋体" w:hAnsi="宋体"/>
          <w:kern w:val="2"/>
          <w:sz w:val="32"/>
          <w:szCs w:val="24"/>
          <w:lang w:val="en-US" w:eastAsia="zh-CN" w:bidi="ar-SA"/>
        </w:rPr>
        <w:t>日上午9时起</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网址：中国土地市场网（www.landchina.com），仙游县行政服务中心网（http://www.xianyou.gov.cn/ztbzx），福建省土地使用权出让管理系统（网上交易模块）运行网站（由福建省自然资源厅官网登录转跳）。</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6"/>
          <w:rFonts w:ascii="宋体" w:hAnsi="宋体" w:eastAsia="仿宋_GB2312"/>
          <w:kern w:val="2"/>
          <w:sz w:val="32"/>
          <w:szCs w:val="24"/>
          <w:lang w:val="en-US" w:eastAsia="zh-CN" w:bidi="ar-SA"/>
        </w:rPr>
        <w:t xml:space="preserve"> </w:t>
      </w:r>
      <w:r>
        <w:rPr>
          <w:rStyle w:val="6"/>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联系人：郑先生       联系电话：13666918833</w:t>
      </w:r>
    </w:p>
    <w:p/>
    <w:sectPr>
      <w:headerReference r:id="rId3" w:type="default"/>
      <w:footerReference r:id="rId4" w:type="default"/>
      <w:footerReference r:id="rId5" w:type="even"/>
      <w:pgSz w:w="11906" w:h="16838"/>
      <w:pgMar w:top="1417" w:right="1417" w:bottom="1417" w:left="1417" w:header="851" w:footer="992" w:gutter="0"/>
      <w:lnNumType w:countBy="0"/>
      <w:cols w:space="425" w:num="1"/>
      <w:vAlign w:val="top"/>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ind w:right="360"/>
      <w:jc w:val="left"/>
      <w:textAlignment w:val="baseline"/>
      <w:rPr>
        <w:rStyle w:val="6"/>
        <w:rFonts w:ascii="仿宋_GB2312" w:eastAsia="仿宋_GB2312"/>
        <w:kern w:val="2"/>
        <w:sz w:val="28"/>
        <w:szCs w:val="28"/>
        <w:lang w:val="en-US" w:eastAsia="zh-CN" w:bidi="ar-SA"/>
      </w:rPr>
    </w:pPr>
    <w:r>
      <w:rPr>
        <w:rStyle w:val="6"/>
        <w:rFonts w:ascii="仿宋_GB2312" w:eastAsia="仿宋_GB2312"/>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outside;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Z&#10;pPZA0gAAAAUBAAAPAAAAAAAAAAEAIAAAACIAAABkcnMvZG93bnJldi54bWxQSwECFAAUAAAACACH&#10;TuJAPtL/TrgBAAB2AwAADgAAAAAAAAABACAAAAAhAQAAZHJzL2Uyb0RvYy54bWxQSwUGAAAAAAYA&#10;BgBZAQAASwUAAAAA&#10;">
              <v:fill on="f" focussize="0,0"/>
              <v:stroke on="f"/>
              <v:imagedata o:title=""/>
              <o:lock v:ext="edit" aspectratio="f"/>
              <v:textbox inset="0mm,0mm,0mm,0mm">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widowControl/>
      <w:snapToGrid w:val="0"/>
      <w:jc w:val="left"/>
      <w:textAlignment w:val="baseline"/>
      <w:rPr>
        <w:rStyle w:val="7"/>
        <w:rFonts w:ascii="仿宋_GB2312" w:eastAsia="仿宋_GB2312"/>
        <w:kern w:val="2"/>
        <w:sz w:val="18"/>
        <w:szCs w:val="18"/>
        <w:lang w:val="en-US" w:eastAsia="zh-CN" w:bidi="ar-SA"/>
      </w:rPr>
    </w:pPr>
  </w:p>
  <w:p>
    <w:pPr>
      <w:pStyle w:val="2"/>
      <w:widowControl/>
      <w:snapToGrid w:val="0"/>
      <w:ind w:right="360"/>
      <w:jc w:val="left"/>
      <w:textAlignment w:val="baseline"/>
      <w:rPr>
        <w:rStyle w:val="6"/>
        <w:rFonts w:ascii="仿宋_GB2312" w:eastAsia="仿宋_GB2312"/>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842FC"/>
    <w:rsid w:val="0E3E77A0"/>
    <w:rsid w:val="0EC842FC"/>
    <w:rsid w:val="126C4B8E"/>
    <w:rsid w:val="133A6EE2"/>
    <w:rsid w:val="15FA28B9"/>
    <w:rsid w:val="1C623C1B"/>
    <w:rsid w:val="1E4B7B1C"/>
    <w:rsid w:val="1EEF7DD2"/>
    <w:rsid w:val="20C25EA8"/>
    <w:rsid w:val="230C0E9A"/>
    <w:rsid w:val="246541F3"/>
    <w:rsid w:val="296559A6"/>
    <w:rsid w:val="32BD44B2"/>
    <w:rsid w:val="32CC54E3"/>
    <w:rsid w:val="37FC393F"/>
    <w:rsid w:val="396232C1"/>
    <w:rsid w:val="445C13D7"/>
    <w:rsid w:val="506916D7"/>
    <w:rsid w:val="508D6370"/>
    <w:rsid w:val="54ED5DA1"/>
    <w:rsid w:val="56306C33"/>
    <w:rsid w:val="5A0C1E3A"/>
    <w:rsid w:val="5BD5307C"/>
    <w:rsid w:val="5D186292"/>
    <w:rsid w:val="5E5A71C7"/>
    <w:rsid w:val="5EF81937"/>
    <w:rsid w:val="624249A0"/>
    <w:rsid w:val="6A3442C6"/>
    <w:rsid w:val="6E0B2112"/>
    <w:rsid w:val="6EF62EBE"/>
    <w:rsid w:val="6F287AB8"/>
    <w:rsid w:val="6F2B0078"/>
    <w:rsid w:val="73FE3C69"/>
    <w:rsid w:val="75543985"/>
    <w:rsid w:val="7ACC2C7D"/>
    <w:rsid w:val="7CCF6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7">
    <w:name w:val="PageNumber"/>
    <w:basedOn w:val="6"/>
    <w:link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2020-12-15T02:34:00Z</dcterms:created>
  <dc:creator>Administrator</dc:creator>
  <cp:lastModifiedBy>Administrator</cp:lastModifiedBy>
  <dcterms:modified xsi:type="dcterms:W3CDTF">2021-11-29T03:47:40Z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73D5BBDA969E4E18860C44BC0E1B7D06</vt:lpwstr>
  </property>
</Properties>
</file>