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560" w:lineRule="exact"/>
        <w:jc w:val="center"/>
        <w:rPr>
          <w:rFonts w:hint="eastAsia" w:ascii="宋体" w:hAnsi="宋体" w:eastAsia="方正小标宋简体" w:cs="方正小标宋简体"/>
          <w:sz w:val="44"/>
          <w:szCs w:val="44"/>
        </w:rPr>
      </w:pPr>
      <w:r>
        <w:rPr>
          <w:rFonts w:hint="eastAsia" w:ascii="宋体" w:hAnsi="宋体" w:eastAsia="方正小标宋简体" w:cs="方正小标宋简体"/>
          <w:sz w:val="44"/>
          <w:szCs w:val="44"/>
        </w:rPr>
        <w:t>仙游县PS-20</w:t>
      </w:r>
      <w:r>
        <w:rPr>
          <w:rFonts w:hint="eastAsia" w:ascii="宋体" w:hAnsi="宋体" w:eastAsia="方正小标宋简体" w:cs="方正小标宋简体"/>
          <w:sz w:val="44"/>
          <w:szCs w:val="44"/>
          <w:lang w:eastAsia="zh-CN"/>
        </w:rPr>
        <w:t>22-6</w:t>
      </w:r>
      <w:r>
        <w:rPr>
          <w:rFonts w:hint="eastAsia" w:ascii="宋体" w:hAnsi="宋体" w:eastAsia="方正小标宋简体" w:cs="方正小标宋简体"/>
          <w:sz w:val="44"/>
          <w:szCs w:val="44"/>
        </w:rPr>
        <w:t>号地块</w:t>
      </w:r>
    </w:p>
    <w:p>
      <w:pPr>
        <w:widowControl w:val="0"/>
        <w:spacing w:line="560" w:lineRule="exact"/>
        <w:jc w:val="center"/>
        <w:rPr>
          <w:rFonts w:hint="eastAsia" w:ascii="宋体" w:hAnsi="宋体" w:eastAsia="方正小标宋简体" w:cs="方正小标宋简体"/>
          <w:sz w:val="44"/>
          <w:szCs w:val="44"/>
        </w:rPr>
      </w:pPr>
      <w:r>
        <w:rPr>
          <w:rFonts w:hint="eastAsia" w:ascii="宋体" w:hAnsi="宋体" w:eastAsia="方正小标宋简体" w:cs="方正小标宋简体"/>
          <w:sz w:val="44"/>
          <w:szCs w:val="44"/>
        </w:rPr>
        <w:t>国有建设用地使用权拍卖出让方案</w:t>
      </w:r>
    </w:p>
    <w:p>
      <w:pPr>
        <w:widowControl w:val="0"/>
        <w:spacing w:line="560" w:lineRule="exact"/>
        <w:rPr>
          <w:rFonts w:ascii="宋体" w:hAnsi="宋体"/>
        </w:rPr>
      </w:pPr>
    </w:p>
    <w:p>
      <w:pPr>
        <w:widowControl w:val="0"/>
        <w:spacing w:line="560" w:lineRule="exact"/>
        <w:ind w:firstLine="640" w:firstLineChars="200"/>
        <w:rPr>
          <w:rFonts w:hint="eastAsia" w:ascii="宋体" w:hAnsi="宋体"/>
        </w:rPr>
      </w:pPr>
      <w:r>
        <w:rPr>
          <w:rFonts w:hint="eastAsia" w:ascii="宋体" w:hAnsi="宋体"/>
        </w:rPr>
        <w:t>根据我县城市建设规划和土地年度供应计划，拟组织对仙游县PS-20</w:t>
      </w:r>
      <w:r>
        <w:rPr>
          <w:rFonts w:hint="eastAsia" w:ascii="宋体" w:hAnsi="宋体"/>
          <w:lang w:eastAsia="zh-CN"/>
        </w:rPr>
        <w:t>22-6</w:t>
      </w:r>
      <w:r>
        <w:rPr>
          <w:rFonts w:hint="eastAsia" w:ascii="宋体" w:hAnsi="宋体"/>
        </w:rPr>
        <w:t>号地块国有建设用地使用权进行公开拍卖出让，特制定公开拍卖出让方案如下：</w:t>
      </w:r>
    </w:p>
    <w:p>
      <w:pPr>
        <w:widowControl w:val="0"/>
        <w:spacing w:line="560" w:lineRule="exact"/>
        <w:ind w:firstLine="640" w:firstLineChars="200"/>
        <w:rPr>
          <w:rFonts w:hint="eastAsia" w:ascii="宋体" w:hAnsi="宋体" w:eastAsia="黑体"/>
        </w:rPr>
      </w:pPr>
      <w:r>
        <w:rPr>
          <w:rFonts w:hint="eastAsia" w:ascii="宋体" w:hAnsi="宋体" w:eastAsia="黑体"/>
        </w:rPr>
        <w:t>一、拍卖地块的位置、面积</w:t>
      </w:r>
    </w:p>
    <w:p>
      <w:pPr>
        <w:widowControl w:val="0"/>
        <w:spacing w:line="560" w:lineRule="exact"/>
        <w:ind w:firstLine="640" w:firstLineChars="200"/>
        <w:rPr>
          <w:rFonts w:hint="eastAsia" w:ascii="宋体" w:hAnsi="宋体"/>
        </w:rPr>
      </w:pPr>
      <w:r>
        <w:rPr>
          <w:rFonts w:hint="eastAsia" w:ascii="宋体" w:hAnsi="宋体"/>
        </w:rPr>
        <w:t>拍卖出让地块位于仙游县</w:t>
      </w:r>
      <w:r>
        <w:rPr>
          <w:rFonts w:hint="eastAsia" w:ascii="宋体" w:hAnsi="宋体"/>
          <w:lang w:eastAsia="zh-CN"/>
        </w:rPr>
        <w:t>鲤城街道</w:t>
      </w:r>
      <w:r>
        <w:rPr>
          <w:rFonts w:hint="eastAsia" w:ascii="宋体" w:hAnsi="宋体"/>
        </w:rPr>
        <w:t>，东至</w:t>
      </w:r>
      <w:r>
        <w:rPr>
          <w:rFonts w:hint="eastAsia" w:ascii="宋体" w:hAnsi="宋体"/>
          <w:lang w:eastAsia="zh-CN"/>
        </w:rPr>
        <w:t>绿化带</w:t>
      </w:r>
      <w:r>
        <w:rPr>
          <w:rFonts w:hint="eastAsia" w:ascii="宋体" w:hAnsi="宋体"/>
        </w:rPr>
        <w:t>、西至</w:t>
      </w:r>
      <w:r>
        <w:rPr>
          <w:rFonts w:hint="eastAsia" w:ascii="宋体" w:hAnsi="宋体"/>
          <w:lang w:eastAsia="zh-CN"/>
        </w:rPr>
        <w:t>规划地块</w:t>
      </w:r>
      <w:r>
        <w:rPr>
          <w:rFonts w:hint="eastAsia" w:ascii="宋体" w:hAnsi="宋体"/>
        </w:rPr>
        <w:t>、南至</w:t>
      </w:r>
      <w:r>
        <w:rPr>
          <w:rFonts w:hint="eastAsia" w:ascii="宋体" w:hAnsi="宋体"/>
          <w:lang w:eastAsia="zh-CN"/>
        </w:rPr>
        <w:t>蜚山一期安置房</w:t>
      </w:r>
      <w:r>
        <w:rPr>
          <w:rFonts w:hint="eastAsia" w:ascii="宋体" w:hAnsi="宋体"/>
        </w:rPr>
        <w:t>、北至</w:t>
      </w:r>
      <w:r>
        <w:rPr>
          <w:rFonts w:hint="eastAsia" w:ascii="宋体" w:hAnsi="宋体"/>
          <w:lang w:eastAsia="zh-CN"/>
        </w:rPr>
        <w:t>北三环路</w:t>
      </w:r>
      <w:r>
        <w:rPr>
          <w:rFonts w:hint="eastAsia" w:ascii="宋体" w:hAnsi="宋体"/>
        </w:rPr>
        <w:t>。宗地编号为PS-20</w:t>
      </w:r>
      <w:r>
        <w:rPr>
          <w:rFonts w:hint="eastAsia" w:ascii="宋体" w:hAnsi="宋体"/>
          <w:lang w:eastAsia="zh-CN"/>
        </w:rPr>
        <w:t>22-6</w:t>
      </w:r>
      <w:r>
        <w:rPr>
          <w:rFonts w:hint="eastAsia" w:ascii="宋体" w:hAnsi="宋体"/>
        </w:rPr>
        <w:t>号。用地总面积为</w:t>
      </w:r>
      <w:r>
        <w:rPr>
          <w:rFonts w:hint="eastAsia" w:ascii="宋体" w:hAnsi="宋体"/>
          <w:lang w:val="en-US" w:eastAsia="zh-CN"/>
        </w:rPr>
        <w:t>47822.9</w:t>
      </w:r>
      <w:r>
        <w:rPr>
          <w:rFonts w:hint="eastAsia" w:ascii="宋体" w:hAnsi="宋体"/>
        </w:rPr>
        <w:t>㎡，实际拍卖出让土地面积</w:t>
      </w:r>
      <w:r>
        <w:rPr>
          <w:rFonts w:hint="eastAsia" w:ascii="宋体" w:hAnsi="宋体"/>
          <w:lang w:val="en-US" w:eastAsia="zh-CN"/>
        </w:rPr>
        <w:t>4.7823</w:t>
      </w:r>
      <w:r>
        <w:rPr>
          <w:rFonts w:hint="eastAsia" w:ascii="宋体" w:hAnsi="宋体"/>
        </w:rPr>
        <w:t>公顷（详见用地规划红线图）。</w:t>
      </w:r>
    </w:p>
    <w:p>
      <w:pPr>
        <w:widowControl w:val="0"/>
        <w:spacing w:line="560" w:lineRule="exact"/>
        <w:ind w:firstLine="640" w:firstLineChars="200"/>
        <w:rPr>
          <w:rFonts w:hint="eastAsia" w:ascii="宋体" w:hAnsi="宋体"/>
        </w:rPr>
      </w:pPr>
      <w:r>
        <w:rPr>
          <w:rFonts w:hint="eastAsia" w:ascii="宋体" w:hAnsi="宋体"/>
        </w:rPr>
        <w:t>二、拍卖地块的用途、使用年限、土地交付及建设时间</w:t>
      </w:r>
    </w:p>
    <w:p>
      <w:pPr>
        <w:widowControl w:val="0"/>
        <w:spacing w:line="560" w:lineRule="exact"/>
        <w:ind w:firstLine="640" w:firstLineChars="200"/>
        <w:rPr>
          <w:rFonts w:hint="eastAsia" w:ascii="宋体" w:hAnsi="宋体"/>
        </w:rPr>
      </w:pPr>
      <w:r>
        <w:rPr>
          <w:rFonts w:hint="eastAsia" w:ascii="宋体" w:hAnsi="宋体"/>
        </w:rPr>
        <w:t>（一）拍卖地块的规划用途为：商</w:t>
      </w:r>
      <w:r>
        <w:rPr>
          <w:rFonts w:hint="eastAsia" w:ascii="宋体" w:hAnsi="宋体"/>
          <w:lang w:eastAsia="zh-CN"/>
        </w:rPr>
        <w:t>住综合</w:t>
      </w:r>
      <w:r>
        <w:rPr>
          <w:rFonts w:hint="eastAsia" w:ascii="宋体" w:hAnsi="宋体"/>
        </w:rPr>
        <w:t>用地。</w:t>
      </w:r>
    </w:p>
    <w:p>
      <w:pPr>
        <w:widowControl w:val="0"/>
        <w:spacing w:line="560" w:lineRule="exact"/>
        <w:ind w:firstLine="640" w:firstLineChars="200"/>
        <w:rPr>
          <w:rFonts w:hint="eastAsia" w:ascii="宋体" w:hAnsi="宋体"/>
        </w:rPr>
      </w:pPr>
      <w:r>
        <w:rPr>
          <w:rFonts w:hint="eastAsia" w:ascii="宋体" w:hAnsi="宋体"/>
        </w:rPr>
        <w:t>（二）土地使用权出让年限为商服用地-零售商业用地（商</w:t>
      </w:r>
      <w:r>
        <w:rPr>
          <w:rFonts w:hint="eastAsia" w:ascii="宋体" w:hAnsi="宋体"/>
          <w:lang w:eastAsia="zh-CN"/>
        </w:rPr>
        <w:t>店</w:t>
      </w:r>
      <w:r>
        <w:rPr>
          <w:rFonts w:hint="eastAsia" w:ascii="宋体" w:hAnsi="宋体"/>
        </w:rPr>
        <w:t>）40年、住宅用地-城镇住宅用地（普通商品房）及服务设施用地70年，自土地使用权交付之日起算。</w:t>
      </w:r>
    </w:p>
    <w:p>
      <w:pPr>
        <w:widowControl w:val="0"/>
        <w:spacing w:line="560" w:lineRule="exact"/>
        <w:ind w:firstLine="640" w:firstLineChars="200"/>
        <w:rPr>
          <w:rFonts w:hint="eastAsia" w:ascii="宋体" w:hAnsi="宋体"/>
        </w:rPr>
      </w:pPr>
      <w:r>
        <w:rPr>
          <w:rFonts w:hint="eastAsia" w:ascii="宋体" w:hAnsi="宋体"/>
        </w:rPr>
        <w:t>（三）土地交付时间：自《国有建设用地使用权出让合同》签订之日起</w:t>
      </w:r>
      <w:r>
        <w:rPr>
          <w:rFonts w:hint="eastAsia" w:ascii="宋体" w:hAnsi="宋体"/>
          <w:lang w:eastAsia="zh-CN"/>
        </w:rPr>
        <w:t>一</w:t>
      </w:r>
      <w:r>
        <w:rPr>
          <w:rFonts w:hint="eastAsia" w:ascii="宋体" w:hAnsi="宋体"/>
        </w:rPr>
        <w:t>个月内交付土地使用权，土地竞得人应在《国有建设用地使用权出让合同》签订之日起</w:t>
      </w:r>
      <w:r>
        <w:rPr>
          <w:rFonts w:hint="eastAsia" w:ascii="宋体" w:hAnsi="宋体"/>
          <w:lang w:eastAsia="zh-CN"/>
        </w:rPr>
        <w:t>一</w:t>
      </w:r>
      <w:r>
        <w:rPr>
          <w:rFonts w:hint="eastAsia" w:ascii="宋体" w:hAnsi="宋体"/>
        </w:rPr>
        <w:t>个月内与土地出让人签订《交地确认书》，逾期未签订的，经土地出让人催告通知后，</w:t>
      </w:r>
      <w:r>
        <w:rPr>
          <w:rFonts w:hint="eastAsia" w:ascii="宋体" w:hAnsi="宋体"/>
          <w:lang w:val="en-US" w:eastAsia="zh-CN"/>
        </w:rPr>
        <w:t>10</w:t>
      </w:r>
      <w:r>
        <w:rPr>
          <w:rFonts w:hint="eastAsia" w:ascii="宋体" w:hAnsi="宋体"/>
        </w:rPr>
        <w:t>日内仍未签订的，视同土地出让人已交付土地给土地竞得人。</w:t>
      </w:r>
    </w:p>
    <w:p>
      <w:pPr>
        <w:widowControl w:val="0"/>
        <w:spacing w:line="560" w:lineRule="exact"/>
        <w:ind w:firstLine="640" w:firstLineChars="200"/>
        <w:rPr>
          <w:rFonts w:hint="eastAsia" w:ascii="宋体" w:hAnsi="宋体"/>
          <w:color w:val="auto"/>
          <w:highlight w:val="none"/>
        </w:rPr>
      </w:pPr>
      <w:r>
        <w:rPr>
          <w:rFonts w:hint="eastAsia" w:ascii="宋体" w:hAnsi="宋体"/>
        </w:rPr>
        <w:t>（四）土地建设时间：土地竞得人</w:t>
      </w:r>
      <w:r>
        <w:rPr>
          <w:rFonts w:hint="eastAsia" w:ascii="宋体" w:hAnsi="宋体"/>
          <w:lang w:eastAsia="zh-CN"/>
        </w:rPr>
        <w:t>须在</w:t>
      </w:r>
      <w:r>
        <w:rPr>
          <w:rFonts w:hint="default" w:ascii="宋体" w:hAnsi="宋体"/>
          <w:lang w:val="en-US" w:eastAsia="zh-CN"/>
        </w:rPr>
        <w:t>签</w:t>
      </w:r>
      <w:r>
        <w:rPr>
          <w:rFonts w:hint="eastAsia" w:ascii="宋体" w:hAnsi="宋体"/>
          <w:lang w:val="en-US" w:eastAsia="zh-CN"/>
        </w:rPr>
        <w:t>订《</w:t>
      </w:r>
      <w:r>
        <w:rPr>
          <w:rFonts w:hint="default" w:ascii="宋体" w:hAnsi="宋体"/>
          <w:lang w:val="en-US" w:eastAsia="zh-CN"/>
        </w:rPr>
        <w:t>国有</w:t>
      </w:r>
      <w:r>
        <w:rPr>
          <w:rFonts w:hint="eastAsia" w:ascii="宋体" w:hAnsi="宋体"/>
          <w:lang w:val="en-US" w:eastAsia="zh-CN"/>
        </w:rPr>
        <w:t>土地使用权出让合同》</w:t>
      </w:r>
      <w:r>
        <w:rPr>
          <w:rFonts w:hint="eastAsia" w:ascii="宋体" w:hAnsi="宋体"/>
        </w:rPr>
        <w:t>之日起</w:t>
      </w:r>
      <w:r>
        <w:rPr>
          <w:rFonts w:hint="eastAsia" w:ascii="宋体" w:hAnsi="宋体"/>
          <w:lang w:val="en-US" w:eastAsia="zh-CN"/>
        </w:rPr>
        <w:t>1个月内开工，在签订《国有土地使用权出让合同》之日起26个月内完成项目建设工程竣工验收备案并交付使用。</w:t>
      </w:r>
    </w:p>
    <w:p>
      <w:pPr>
        <w:widowControl w:val="0"/>
        <w:spacing w:line="560" w:lineRule="exact"/>
        <w:ind w:firstLine="640" w:firstLineChars="200"/>
        <w:rPr>
          <w:rFonts w:hint="eastAsia" w:ascii="宋体" w:hAnsi="宋体" w:eastAsia="黑体"/>
        </w:rPr>
      </w:pPr>
      <w:r>
        <w:rPr>
          <w:rFonts w:hint="eastAsia" w:ascii="宋体" w:hAnsi="宋体" w:eastAsia="黑体"/>
        </w:rPr>
        <w:t>三</w:t>
      </w:r>
      <w:r>
        <w:rPr>
          <w:rFonts w:hint="eastAsia" w:ascii="宋体" w:hAnsi="宋体"/>
        </w:rPr>
        <w:t>、</w:t>
      </w:r>
      <w:r>
        <w:rPr>
          <w:rFonts w:hint="eastAsia" w:ascii="宋体" w:hAnsi="宋体" w:eastAsia="黑体"/>
        </w:rPr>
        <w:t>拍卖地块建设规划条件及要求</w:t>
      </w:r>
    </w:p>
    <w:p>
      <w:pPr>
        <w:widowControl w:val="0"/>
        <w:spacing w:line="560" w:lineRule="exact"/>
        <w:ind w:firstLine="640" w:firstLineChars="200"/>
        <w:rPr>
          <w:rFonts w:hint="eastAsia" w:ascii="宋体" w:hAnsi="宋体" w:cs="Times New Roman"/>
        </w:rPr>
      </w:pPr>
      <w:r>
        <w:rPr>
          <w:rFonts w:hint="eastAsia" w:ascii="宋体" w:hAnsi="宋体" w:cs="Times New Roman"/>
        </w:rPr>
        <w:t>（一）拍卖地块规划经济技术指标为：</w:t>
      </w:r>
    </w:p>
    <w:p>
      <w:pPr>
        <w:widowControl w:val="0"/>
        <w:spacing w:line="560" w:lineRule="exact"/>
        <w:ind w:firstLine="640" w:firstLineChars="200"/>
        <w:rPr>
          <w:rFonts w:hint="eastAsia" w:ascii="宋体" w:hAnsi="宋体" w:cs="Times New Roman"/>
        </w:rPr>
      </w:pPr>
      <w:r>
        <w:rPr>
          <w:rFonts w:hint="eastAsia" w:ascii="宋体" w:hAnsi="宋体" w:cs="Times New Roman"/>
        </w:rPr>
        <w:t>1</w:t>
      </w:r>
      <w:r>
        <w:rPr>
          <w:rFonts w:hint="eastAsia" w:ascii="宋体" w:hAnsi="宋体" w:cs="Times New Roman"/>
          <w:lang w:val="en-US" w:eastAsia="zh-CN"/>
        </w:rPr>
        <w:t>.</w:t>
      </w:r>
      <w:r>
        <w:rPr>
          <w:rFonts w:hint="eastAsia" w:ascii="宋体" w:hAnsi="宋体" w:cs="Times New Roman"/>
        </w:rPr>
        <w:t>1.0＜容积率≤2.</w:t>
      </w:r>
      <w:r>
        <w:rPr>
          <w:rFonts w:hint="eastAsia" w:ascii="宋体" w:hAnsi="宋体" w:cs="Times New Roman"/>
          <w:lang w:val="en-US" w:eastAsia="zh-CN"/>
        </w:rPr>
        <w:t>8</w:t>
      </w:r>
      <w:r>
        <w:rPr>
          <w:rFonts w:hint="eastAsia" w:ascii="宋体" w:hAnsi="宋体" w:cs="Times New Roman"/>
        </w:rPr>
        <w:t>；</w:t>
      </w:r>
    </w:p>
    <w:p>
      <w:pPr>
        <w:widowControl w:val="0"/>
        <w:spacing w:line="560" w:lineRule="exact"/>
        <w:ind w:firstLine="640" w:firstLineChars="200"/>
        <w:rPr>
          <w:rFonts w:hint="eastAsia" w:ascii="宋体" w:hAnsi="宋体" w:cs="Times New Roman"/>
        </w:rPr>
      </w:pPr>
      <w:r>
        <w:rPr>
          <w:rFonts w:hint="eastAsia" w:ascii="宋体" w:hAnsi="宋体" w:cs="Times New Roman"/>
        </w:rPr>
        <w:t>2</w:t>
      </w:r>
      <w:r>
        <w:rPr>
          <w:rFonts w:hint="eastAsia" w:ascii="宋体" w:hAnsi="宋体" w:cs="Times New Roman"/>
          <w:lang w:val="en-US" w:eastAsia="zh-CN"/>
        </w:rPr>
        <w:t>.</w:t>
      </w:r>
      <w:r>
        <w:rPr>
          <w:rFonts w:hint="eastAsia" w:ascii="宋体" w:hAnsi="宋体" w:cs="Times New Roman"/>
        </w:rPr>
        <w:t>建筑密度≤3</w:t>
      </w:r>
      <w:r>
        <w:rPr>
          <w:rFonts w:hint="eastAsia" w:ascii="宋体" w:hAnsi="宋体" w:cs="Times New Roman"/>
          <w:lang w:val="en-US" w:eastAsia="zh-CN"/>
        </w:rPr>
        <w:t>1</w:t>
      </w:r>
      <w:r>
        <w:rPr>
          <w:rFonts w:hint="eastAsia" w:ascii="宋体" w:hAnsi="宋体" w:cs="Times New Roman"/>
        </w:rPr>
        <w:t>%；</w:t>
      </w:r>
    </w:p>
    <w:p>
      <w:pPr>
        <w:widowControl w:val="0"/>
        <w:spacing w:line="560" w:lineRule="exact"/>
        <w:ind w:firstLine="640" w:firstLineChars="200"/>
        <w:rPr>
          <w:rFonts w:hint="eastAsia" w:ascii="宋体" w:hAnsi="宋体" w:cs="Times New Roman"/>
        </w:rPr>
      </w:pPr>
      <w:r>
        <w:rPr>
          <w:rFonts w:hint="eastAsia" w:ascii="宋体" w:hAnsi="宋体" w:cs="Times New Roman"/>
        </w:rPr>
        <w:t>3</w:t>
      </w:r>
      <w:r>
        <w:rPr>
          <w:rFonts w:hint="eastAsia" w:ascii="宋体" w:hAnsi="宋体" w:cs="Times New Roman"/>
          <w:lang w:val="en-US" w:eastAsia="zh-CN"/>
        </w:rPr>
        <w:t>.</w:t>
      </w:r>
      <w:r>
        <w:rPr>
          <w:rFonts w:hint="eastAsia" w:ascii="宋体" w:hAnsi="宋体" w:cs="Times New Roman"/>
        </w:rPr>
        <w:t>绿地率≥25.0%；</w:t>
      </w:r>
    </w:p>
    <w:p>
      <w:pPr>
        <w:widowControl w:val="0"/>
        <w:spacing w:line="560" w:lineRule="exact"/>
        <w:ind w:firstLine="640" w:firstLineChars="200"/>
        <w:rPr>
          <w:rFonts w:hint="eastAsia" w:ascii="宋体" w:hAnsi="宋体" w:cs="Times New Roman"/>
        </w:rPr>
      </w:pPr>
      <w:r>
        <w:rPr>
          <w:rFonts w:hint="eastAsia" w:ascii="宋体" w:hAnsi="宋体" w:cs="Times New Roman"/>
        </w:rPr>
        <w:t>4</w:t>
      </w:r>
      <w:r>
        <w:rPr>
          <w:rFonts w:hint="eastAsia" w:ascii="宋体" w:hAnsi="宋体" w:cs="Times New Roman"/>
          <w:lang w:val="en-US" w:eastAsia="zh-CN"/>
        </w:rPr>
        <w:t>.</w:t>
      </w:r>
      <w:r>
        <w:rPr>
          <w:rFonts w:hint="eastAsia" w:ascii="宋体" w:hAnsi="宋体" w:cs="Times New Roman"/>
        </w:rPr>
        <w:t>商</w:t>
      </w:r>
      <w:r>
        <w:rPr>
          <w:rFonts w:hint="eastAsia" w:ascii="宋体" w:hAnsi="宋体" w:cs="Times New Roman"/>
          <w:lang w:eastAsia="zh-CN"/>
        </w:rPr>
        <w:t>业</w:t>
      </w:r>
      <w:r>
        <w:rPr>
          <w:rFonts w:hint="eastAsia" w:ascii="宋体" w:hAnsi="宋体" w:cs="Times New Roman"/>
        </w:rPr>
        <w:t>面积≤</w:t>
      </w:r>
      <w:r>
        <w:rPr>
          <w:rFonts w:hint="eastAsia" w:ascii="宋体" w:hAnsi="宋体" w:cs="Times New Roman"/>
          <w:lang w:val="en-US" w:eastAsia="zh-CN"/>
        </w:rPr>
        <w:t>110</w:t>
      </w:r>
      <w:r>
        <w:rPr>
          <w:rFonts w:hint="eastAsia" w:ascii="宋体" w:hAnsi="宋体" w:cs="Times New Roman"/>
        </w:rPr>
        <w:t>00㎡;</w:t>
      </w:r>
    </w:p>
    <w:p>
      <w:pPr>
        <w:widowControl w:val="0"/>
        <w:spacing w:line="560" w:lineRule="exact"/>
        <w:ind w:firstLine="640" w:firstLineChars="200"/>
        <w:rPr>
          <w:rFonts w:hint="eastAsia" w:ascii="宋体" w:hAnsi="宋体" w:cs="Times New Roman"/>
        </w:rPr>
      </w:pPr>
      <w:r>
        <w:rPr>
          <w:rFonts w:hint="eastAsia" w:ascii="宋体" w:hAnsi="宋体" w:cs="Times New Roman"/>
        </w:rPr>
        <w:t>5</w:t>
      </w:r>
      <w:r>
        <w:rPr>
          <w:rFonts w:hint="eastAsia" w:ascii="宋体" w:hAnsi="宋体" w:cs="Times New Roman"/>
          <w:lang w:val="en-US" w:eastAsia="zh-CN"/>
        </w:rPr>
        <w:t>.</w:t>
      </w:r>
      <w:r>
        <w:rPr>
          <w:rFonts w:hint="eastAsia" w:ascii="宋体" w:hAnsi="宋体" w:cs="Times New Roman"/>
        </w:rPr>
        <w:t>建筑高度≤80米。</w:t>
      </w:r>
    </w:p>
    <w:p>
      <w:pPr>
        <w:widowControl w:val="0"/>
        <w:spacing w:line="560" w:lineRule="exact"/>
        <w:ind w:firstLine="640" w:firstLineChars="200"/>
        <w:rPr>
          <w:rFonts w:hint="eastAsia" w:ascii="宋体" w:hAnsi="宋体"/>
        </w:rPr>
      </w:pPr>
      <w:r>
        <w:rPr>
          <w:rFonts w:hint="eastAsia" w:ascii="宋体" w:hAnsi="宋体"/>
        </w:rPr>
        <w:t>（二）规划设计方案应符合《福建省城市规划管理技术规定》（2017年2月）和各相关专业规范要求。</w:t>
      </w:r>
    </w:p>
    <w:p>
      <w:pPr>
        <w:widowControl w:val="0"/>
        <w:spacing w:line="560" w:lineRule="exact"/>
        <w:ind w:firstLine="640" w:firstLineChars="200"/>
        <w:rPr>
          <w:rFonts w:hint="eastAsia" w:ascii="宋体" w:hAnsi="宋体"/>
        </w:rPr>
      </w:pPr>
      <w:r>
        <w:rPr>
          <w:rFonts w:hint="eastAsia" w:ascii="宋体" w:hAnsi="宋体"/>
        </w:rPr>
        <w:t>（三）在符合相关规定前提下，土地竞得人可合理利用开发地下空间，并应考虑人防、地下管线、消防、停车场及其它配套设施功能。市政公用设施配建（包括夜景）按有关规定设置。消防控制室、有线及电信设备房、高低压变配电机房等规范要求设置的设施应按有关规范执行。</w:t>
      </w:r>
    </w:p>
    <w:p>
      <w:pPr>
        <w:widowControl w:val="0"/>
        <w:spacing w:line="560" w:lineRule="exact"/>
        <w:ind w:firstLine="640" w:firstLineChars="200"/>
        <w:rPr>
          <w:rFonts w:hint="eastAsia" w:ascii="宋体" w:hAnsi="宋体"/>
        </w:rPr>
      </w:pPr>
      <w:r>
        <w:rPr>
          <w:rFonts w:hint="eastAsia" w:ascii="宋体" w:hAnsi="宋体"/>
        </w:rPr>
        <w:t>（四）公共服务设施配建应符合《城市居住区规划设计规范》（GB50180—2018）（2018年版）的分级配建要求。除新建、改建或扩建的建筑物要按标准配建相应规模的停车场（库）外，住宅建设项目配建停车位中应包含不低于5%的公共停车泊位，公共停车泊位宜设置在地面。</w:t>
      </w:r>
    </w:p>
    <w:p>
      <w:pPr>
        <w:widowControl w:val="0"/>
        <w:spacing w:line="560" w:lineRule="exact"/>
        <w:ind w:firstLine="640" w:firstLineChars="200"/>
        <w:rPr>
          <w:rFonts w:hint="eastAsia" w:ascii="宋体" w:hAnsi="宋体"/>
        </w:rPr>
      </w:pPr>
      <w:r>
        <w:rPr>
          <w:rFonts w:hint="eastAsia" w:ascii="宋体" w:hAnsi="宋体"/>
        </w:rPr>
        <w:t>（五）竖向及市政工程管线规划应与该片区的竖向标高、控规的道路管线相衔接。本规划条件未提及的，应符合有关规定要求。</w:t>
      </w:r>
    </w:p>
    <w:p>
      <w:pPr>
        <w:widowControl w:val="0"/>
        <w:spacing w:line="560" w:lineRule="exact"/>
        <w:ind w:firstLine="640" w:firstLineChars="200"/>
        <w:rPr>
          <w:rFonts w:hint="eastAsia" w:ascii="宋体" w:hAnsi="宋体" w:eastAsia="仿宋_GB2312"/>
          <w:color w:val="auto"/>
          <w:u w:val="none"/>
          <w:lang w:val="en-US" w:eastAsia="zh-CN"/>
        </w:rPr>
      </w:pPr>
      <w:r>
        <w:rPr>
          <w:rFonts w:hint="eastAsia" w:ascii="宋体" w:hAnsi="宋体"/>
          <w:color w:val="auto"/>
          <w:u w:val="none"/>
          <w:lang w:val="en-US" w:eastAsia="zh-CN"/>
        </w:rPr>
        <w:t>（六）</w:t>
      </w:r>
      <w:r>
        <w:rPr>
          <w:rStyle w:val="4"/>
          <w:rFonts w:hint="eastAsia" w:ascii="宋体" w:hAnsi="宋体"/>
          <w:color w:val="auto"/>
          <w:kern w:val="2"/>
          <w:sz w:val="32"/>
          <w:szCs w:val="24"/>
          <w:u w:val="none"/>
          <w:lang w:val="en-US" w:eastAsia="zh-CN" w:bidi="ar-SA"/>
        </w:rPr>
        <w:t>沿街的建筑若</w:t>
      </w:r>
      <w:r>
        <w:rPr>
          <w:rStyle w:val="4"/>
          <w:rFonts w:ascii="宋体" w:hAnsi="宋体" w:eastAsia="仿宋_GB2312"/>
          <w:color w:val="auto"/>
          <w:kern w:val="2"/>
          <w:sz w:val="32"/>
          <w:szCs w:val="24"/>
          <w:u w:val="none"/>
          <w:lang w:val="en-US" w:eastAsia="zh-CN" w:bidi="ar-SA"/>
        </w:rPr>
        <w:t>设置阳台时不得设置敞开式阳台。</w:t>
      </w:r>
      <w:r>
        <w:rPr>
          <w:rFonts w:hint="eastAsia" w:ascii="宋体" w:hAnsi="宋体" w:eastAsia="仿宋_GB2312" w:cs="Times New Roman"/>
          <w:color w:val="auto"/>
          <w:spacing w:val="6"/>
          <w:kern w:val="2"/>
          <w:sz w:val="32"/>
          <w:szCs w:val="32"/>
          <w:u w:val="none"/>
        </w:rPr>
        <w:t>住宅阳台应单独设置废水排水管，并接入市政污水收集系统。</w:t>
      </w:r>
      <w:r>
        <w:rPr>
          <w:rStyle w:val="4"/>
          <w:rFonts w:ascii="宋体" w:hAnsi="宋体" w:eastAsia="仿宋_GB2312"/>
          <w:color w:val="auto"/>
          <w:kern w:val="2"/>
          <w:sz w:val="32"/>
          <w:szCs w:val="24"/>
          <w:u w:val="none"/>
          <w:lang w:val="en-US" w:eastAsia="zh-CN" w:bidi="ar-SA"/>
        </w:rPr>
        <w:t>本规划条件未提及的，应符合有关规定要求。今后建设以经批准的修建性详细规划方案为准。</w:t>
      </w:r>
    </w:p>
    <w:p>
      <w:pPr>
        <w:widowControl w:val="0"/>
        <w:spacing w:line="560" w:lineRule="exact"/>
        <w:ind w:firstLine="640" w:firstLineChars="200"/>
        <w:rPr>
          <w:rFonts w:hint="eastAsia" w:ascii="宋体" w:hAnsi="宋体" w:eastAsia="黑体"/>
        </w:rPr>
      </w:pPr>
      <w:r>
        <w:rPr>
          <w:rFonts w:hint="eastAsia" w:ascii="宋体" w:hAnsi="宋体" w:eastAsia="黑体"/>
        </w:rPr>
        <w:t>四、其他要求</w:t>
      </w:r>
    </w:p>
    <w:p>
      <w:pPr>
        <w:widowControl w:val="0"/>
        <w:wordWrap/>
        <w:spacing w:line="56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Fonts w:hint="eastAsia" w:ascii="宋体" w:hAnsi="宋体"/>
        </w:rPr>
        <w:t>1</w:t>
      </w:r>
      <w:r>
        <w:rPr>
          <w:rFonts w:hint="eastAsia" w:ascii="宋体" w:hAnsi="宋体"/>
          <w:lang w:val="en-US" w:eastAsia="zh-CN"/>
        </w:rPr>
        <w:t>.</w:t>
      </w:r>
      <w:r>
        <w:rPr>
          <w:rFonts w:hint="eastAsia" w:ascii="宋体" w:hAnsi="宋体"/>
          <w:color w:val="auto"/>
          <w:lang w:eastAsia="zh-CN"/>
        </w:rPr>
        <w:t>竞得人须按照仙游大蜚山省级森林公园管委会提供的</w:t>
      </w:r>
      <w:r>
        <w:rPr>
          <w:rFonts w:hint="eastAsia" w:ascii="宋体" w:hAnsi="宋体" w:cs="Times New Roman"/>
          <w:color w:val="auto"/>
          <w:sz w:val="32"/>
          <w:szCs w:val="24"/>
          <w:lang w:eastAsia="zh-CN"/>
        </w:rPr>
        <w:t>施工</w:t>
      </w:r>
      <w:r>
        <w:rPr>
          <w:rFonts w:hint="default" w:ascii="宋体" w:hAnsi="宋体" w:cs="Times New Roman"/>
          <w:color w:val="auto"/>
          <w:sz w:val="32"/>
          <w:szCs w:val="24"/>
          <w:lang w:val="en-US" w:eastAsia="zh-CN"/>
        </w:rPr>
        <w:t>图</w:t>
      </w:r>
      <w:r>
        <w:rPr>
          <w:rFonts w:hint="eastAsia" w:ascii="宋体" w:hAnsi="宋体" w:cs="Times New Roman"/>
          <w:color w:val="auto"/>
          <w:sz w:val="32"/>
          <w:szCs w:val="24"/>
          <w:lang w:val="en-US" w:eastAsia="zh-CN"/>
        </w:rPr>
        <w:t>纸</w:t>
      </w:r>
      <w:r>
        <w:rPr>
          <w:rFonts w:hint="default" w:ascii="宋体" w:hAnsi="宋体" w:cs="Times New Roman"/>
          <w:color w:val="auto"/>
          <w:sz w:val="32"/>
          <w:szCs w:val="24"/>
          <w:lang w:val="en-US" w:eastAsia="zh-CN"/>
        </w:rPr>
        <w:t>施</w:t>
      </w:r>
      <w:r>
        <w:rPr>
          <w:rFonts w:hint="eastAsia" w:ascii="宋体" w:hAnsi="宋体" w:cs="Times New Roman"/>
          <w:color w:val="auto"/>
          <w:sz w:val="32"/>
          <w:szCs w:val="24"/>
          <w:lang w:val="en-US" w:eastAsia="zh-CN"/>
        </w:rPr>
        <w:t>工（施工图纸见</w:t>
      </w:r>
      <w:r>
        <w:rPr>
          <w:rFonts w:hint="default" w:ascii="宋体" w:hAnsi="宋体" w:cs="Times New Roman"/>
          <w:color w:val="auto"/>
          <w:sz w:val="32"/>
          <w:szCs w:val="24"/>
          <w:lang w:val="en-US" w:eastAsia="zh-CN"/>
        </w:rPr>
        <w:t>附</w:t>
      </w:r>
      <w:r>
        <w:rPr>
          <w:rFonts w:hint="eastAsia" w:ascii="宋体" w:hAnsi="宋体" w:cs="Times New Roman"/>
          <w:color w:val="auto"/>
          <w:sz w:val="32"/>
          <w:szCs w:val="24"/>
          <w:lang w:val="en-US" w:eastAsia="zh-CN"/>
        </w:rPr>
        <w:t>件）</w:t>
      </w:r>
      <w:r>
        <w:rPr>
          <w:rFonts w:hint="eastAsia" w:ascii="宋体" w:hAnsi="宋体" w:cs="Times New Roman"/>
          <w:sz w:val="32"/>
          <w:szCs w:val="24"/>
          <w:lang w:eastAsia="zh-CN"/>
        </w:rPr>
        <w:t>。</w:t>
      </w:r>
      <w:r>
        <w:rPr>
          <w:rStyle w:val="4"/>
          <w:rFonts w:ascii="宋体" w:hAnsi="宋体" w:eastAsia="仿宋_GB2312"/>
          <w:color w:val="auto"/>
          <w:kern w:val="2"/>
          <w:sz w:val="32"/>
          <w:szCs w:val="24"/>
          <w:lang w:val="en-US" w:eastAsia="zh-CN" w:bidi="ar-SA"/>
        </w:rPr>
        <w:t>养老服务设施按照《</w:t>
      </w:r>
      <w:r>
        <w:rPr>
          <w:rStyle w:val="4"/>
          <w:rFonts w:hint="eastAsia" w:ascii="宋体" w:hAnsi="宋体"/>
          <w:color w:val="auto"/>
          <w:kern w:val="2"/>
          <w:sz w:val="32"/>
          <w:szCs w:val="24"/>
          <w:lang w:val="en-US" w:eastAsia="zh-CN" w:bidi="ar-SA"/>
        </w:rPr>
        <w:t>关于加强城区和住宅小区养老服务设施配建工作的通知</w:t>
      </w:r>
      <w:r>
        <w:rPr>
          <w:rStyle w:val="4"/>
          <w:rFonts w:ascii="宋体" w:hAnsi="宋体" w:eastAsia="仿宋_GB2312"/>
          <w:color w:val="auto"/>
          <w:kern w:val="2"/>
          <w:sz w:val="32"/>
          <w:szCs w:val="24"/>
          <w:lang w:val="en-US" w:eastAsia="zh-CN" w:bidi="ar-SA"/>
        </w:rPr>
        <w:t>》</w:t>
      </w:r>
      <w:r>
        <w:rPr>
          <w:rStyle w:val="4"/>
          <w:rFonts w:hint="eastAsia" w:ascii="宋体" w:hAnsi="宋体"/>
          <w:color w:val="auto"/>
          <w:kern w:val="2"/>
          <w:sz w:val="32"/>
          <w:szCs w:val="24"/>
          <w:lang w:val="en-US" w:eastAsia="zh-CN" w:bidi="ar-SA"/>
        </w:rPr>
        <w:t>（闽民养老</w:t>
      </w:r>
      <w:r>
        <w:rPr>
          <w:rStyle w:val="4"/>
          <w:rFonts w:ascii="宋体" w:hAnsi="宋体" w:eastAsia="仿宋_GB2312"/>
          <w:color w:val="auto"/>
          <w:kern w:val="2"/>
          <w:sz w:val="32"/>
          <w:szCs w:val="24"/>
          <w:lang w:val="en-US" w:eastAsia="zh-CN" w:bidi="ar-SA"/>
        </w:rPr>
        <w:t>〔202</w:t>
      </w:r>
      <w:r>
        <w:rPr>
          <w:rStyle w:val="4"/>
          <w:rFonts w:hint="eastAsia" w:ascii="宋体" w:hAnsi="宋体"/>
          <w:color w:val="auto"/>
          <w:kern w:val="2"/>
          <w:sz w:val="32"/>
          <w:szCs w:val="24"/>
          <w:lang w:val="en-US" w:eastAsia="zh-CN" w:bidi="ar-SA"/>
        </w:rPr>
        <w:t>1</w:t>
      </w:r>
      <w:r>
        <w:rPr>
          <w:rStyle w:val="4"/>
          <w:rFonts w:ascii="宋体" w:hAnsi="宋体" w:eastAsia="仿宋_GB2312"/>
          <w:color w:val="auto"/>
          <w:kern w:val="2"/>
          <w:sz w:val="32"/>
          <w:szCs w:val="24"/>
          <w:lang w:val="en-US" w:eastAsia="zh-CN" w:bidi="ar-SA"/>
        </w:rPr>
        <w:t>〕</w:t>
      </w:r>
      <w:r>
        <w:rPr>
          <w:rStyle w:val="4"/>
          <w:rFonts w:hint="eastAsia" w:ascii="宋体" w:hAnsi="宋体"/>
          <w:color w:val="auto"/>
          <w:kern w:val="2"/>
          <w:sz w:val="32"/>
          <w:szCs w:val="24"/>
          <w:lang w:val="en-US" w:eastAsia="zh-CN" w:bidi="ar-SA"/>
        </w:rPr>
        <w:t>140号）</w:t>
      </w:r>
      <w:r>
        <w:rPr>
          <w:rStyle w:val="4"/>
          <w:rFonts w:ascii="宋体" w:hAnsi="宋体" w:eastAsia="仿宋_GB2312"/>
          <w:color w:val="auto"/>
          <w:kern w:val="2"/>
          <w:sz w:val="32"/>
          <w:szCs w:val="24"/>
          <w:lang w:val="en-US" w:eastAsia="zh-CN" w:bidi="ar-SA"/>
        </w:rPr>
        <w:t>文件要求配建，</w:t>
      </w:r>
      <w:r>
        <w:rPr>
          <w:rStyle w:val="4"/>
          <w:rFonts w:hint="eastAsia" w:ascii="宋体" w:hAnsi="宋体"/>
          <w:color w:val="auto"/>
          <w:kern w:val="2"/>
          <w:sz w:val="32"/>
          <w:szCs w:val="24"/>
          <w:lang w:val="en-US" w:eastAsia="zh-CN" w:bidi="ar-SA"/>
        </w:rPr>
        <w:t>每百户不少于30平方米</w:t>
      </w:r>
      <w:r>
        <w:rPr>
          <w:rStyle w:val="4"/>
          <w:rFonts w:ascii="宋体" w:hAnsi="宋体" w:eastAsia="仿宋_GB2312"/>
          <w:color w:val="auto"/>
          <w:kern w:val="2"/>
          <w:sz w:val="32"/>
          <w:szCs w:val="24"/>
          <w:lang w:val="en-US" w:eastAsia="zh-CN" w:bidi="ar-SA"/>
        </w:rPr>
        <w:t>建筑面积</w:t>
      </w:r>
      <w:r>
        <w:rPr>
          <w:rStyle w:val="4"/>
          <w:rFonts w:hint="eastAsia" w:ascii="宋体" w:hAnsi="宋体"/>
          <w:color w:val="auto"/>
          <w:kern w:val="2"/>
          <w:sz w:val="32"/>
          <w:szCs w:val="24"/>
          <w:lang w:val="en-US" w:eastAsia="zh-CN" w:bidi="ar-SA"/>
        </w:rPr>
        <w:t>,</w:t>
      </w:r>
      <w:r>
        <w:rPr>
          <w:rFonts w:hint="eastAsia" w:ascii="宋体" w:hAnsi="宋体" w:eastAsia="仿宋_GB2312"/>
          <w:bCs/>
          <w:color w:val="auto"/>
          <w:sz w:val="32"/>
          <w:szCs w:val="32"/>
        </w:rPr>
        <w:t>且</w:t>
      </w:r>
      <w:r>
        <w:rPr>
          <w:rFonts w:hint="eastAsia" w:ascii="宋体" w:hAnsi="宋体"/>
          <w:bCs/>
          <w:color w:val="auto"/>
          <w:sz w:val="32"/>
          <w:szCs w:val="32"/>
          <w:lang w:eastAsia="zh-CN"/>
        </w:rPr>
        <w:t>单处用房面积不得少于</w:t>
      </w:r>
      <w:r>
        <w:rPr>
          <w:rFonts w:hint="eastAsia" w:ascii="宋体" w:hAnsi="宋体"/>
          <w:bCs/>
          <w:color w:val="auto"/>
          <w:sz w:val="32"/>
          <w:szCs w:val="32"/>
          <w:lang w:val="en-US" w:eastAsia="zh-CN"/>
        </w:rPr>
        <w:t>400平方米标准配建社区养老服务设施</w:t>
      </w:r>
      <w:r>
        <w:rPr>
          <w:rStyle w:val="4"/>
          <w:rFonts w:ascii="宋体" w:hAnsi="宋体" w:eastAsia="仿宋_GB2312"/>
          <w:color w:val="auto"/>
          <w:kern w:val="2"/>
          <w:sz w:val="32"/>
          <w:szCs w:val="24"/>
          <w:lang w:val="en-US" w:eastAsia="zh-CN" w:bidi="ar-SA"/>
        </w:rPr>
        <w:t>。土地竞得人须在签订《国有建设用地使用权出让合同》的同时</w:t>
      </w:r>
      <w:r>
        <w:rPr>
          <w:rStyle w:val="4"/>
          <w:rFonts w:hint="eastAsia" w:ascii="宋体" w:hAnsi="宋体"/>
          <w:color w:val="auto"/>
          <w:kern w:val="2"/>
          <w:sz w:val="32"/>
          <w:szCs w:val="24"/>
          <w:lang w:val="en-US" w:eastAsia="zh-CN" w:bidi="ar-SA"/>
        </w:rPr>
        <w:t>与仙游县鲤城街道办事处</w:t>
      </w:r>
      <w:r>
        <w:rPr>
          <w:rStyle w:val="4"/>
          <w:rFonts w:ascii="宋体" w:hAnsi="宋体" w:eastAsia="仿宋_GB2312"/>
          <w:color w:val="auto"/>
          <w:kern w:val="2"/>
          <w:sz w:val="32"/>
          <w:szCs w:val="24"/>
          <w:lang w:val="en-US" w:eastAsia="zh-CN" w:bidi="ar-SA"/>
        </w:rPr>
        <w:t>签订《</w:t>
      </w:r>
      <w:r>
        <w:rPr>
          <w:rStyle w:val="4"/>
          <w:rFonts w:hint="eastAsia" w:ascii="宋体" w:hAnsi="宋体"/>
          <w:color w:val="auto"/>
          <w:kern w:val="2"/>
          <w:sz w:val="32"/>
          <w:szCs w:val="24"/>
          <w:lang w:val="en-US" w:eastAsia="zh-CN" w:bidi="ar-SA"/>
        </w:rPr>
        <w:t>蜚山安置区二期</w:t>
      </w:r>
      <w:r>
        <w:rPr>
          <w:rStyle w:val="4"/>
          <w:rFonts w:ascii="宋体" w:hAnsi="宋体" w:eastAsia="仿宋_GB2312"/>
          <w:color w:val="auto"/>
          <w:kern w:val="2"/>
          <w:sz w:val="32"/>
          <w:szCs w:val="24"/>
          <w:lang w:val="en-US" w:eastAsia="zh-CN" w:bidi="ar-SA"/>
        </w:rPr>
        <w:t>无偿配建养老服务设施协议书》，配建的养老服务设施不动产产权归仙游县</w:t>
      </w:r>
      <w:r>
        <w:rPr>
          <w:rStyle w:val="4"/>
          <w:rFonts w:hint="eastAsia" w:ascii="宋体" w:hAnsi="宋体"/>
          <w:color w:val="auto"/>
          <w:kern w:val="2"/>
          <w:sz w:val="32"/>
          <w:szCs w:val="24"/>
          <w:lang w:val="en-US" w:eastAsia="zh-CN" w:bidi="ar-SA"/>
        </w:rPr>
        <w:t>鲤城街道办事处</w:t>
      </w:r>
      <w:r>
        <w:rPr>
          <w:rStyle w:val="4"/>
          <w:rFonts w:ascii="宋体" w:hAnsi="宋体" w:eastAsia="仿宋_GB2312"/>
          <w:color w:val="auto"/>
          <w:kern w:val="2"/>
          <w:sz w:val="32"/>
          <w:szCs w:val="24"/>
          <w:lang w:val="en-US" w:eastAsia="zh-CN" w:bidi="ar-SA"/>
        </w:rPr>
        <w:t>。</w:t>
      </w:r>
    </w:p>
    <w:p>
      <w:pPr>
        <w:widowControl w:val="0"/>
        <w:wordWrap/>
        <w:spacing w:line="560" w:lineRule="exact"/>
        <w:ind w:left="0" w:leftChars="0" w:firstLine="640" w:firstLineChars="200"/>
        <w:jc w:val="both"/>
        <w:textAlignment w:val="auto"/>
        <w:rPr>
          <w:rFonts w:hint="eastAsia" w:ascii="宋体" w:hAnsi="宋体" w:eastAsia="仿宋_GB2312" w:cs="Times New Roman"/>
          <w:color w:val="FF0000"/>
          <w:highlight w:val="none"/>
          <w:lang w:eastAsia="zh-CN"/>
        </w:rPr>
      </w:pPr>
      <w:r>
        <w:rPr>
          <w:rStyle w:val="4"/>
          <w:rFonts w:ascii="宋体" w:hAnsi="宋体" w:eastAsia="仿宋_GB2312"/>
          <w:color w:val="auto"/>
          <w:kern w:val="2"/>
          <w:sz w:val="32"/>
          <w:szCs w:val="24"/>
          <w:lang w:val="en-US" w:eastAsia="zh-CN" w:bidi="ar-SA"/>
        </w:rPr>
        <w:t>土地竞得人在签订《国有建设用地使用权出让合同》的同时</w:t>
      </w:r>
      <w:r>
        <w:rPr>
          <w:rStyle w:val="4"/>
          <w:rFonts w:hint="eastAsia" w:ascii="宋体" w:hAnsi="宋体"/>
          <w:color w:val="auto"/>
          <w:kern w:val="2"/>
          <w:sz w:val="32"/>
          <w:szCs w:val="24"/>
          <w:lang w:val="en-US" w:eastAsia="zh-CN" w:bidi="ar-SA"/>
        </w:rPr>
        <w:t>，还应与</w:t>
      </w:r>
      <w:r>
        <w:rPr>
          <w:rFonts w:hint="eastAsia" w:ascii="宋体" w:hAnsi="宋体"/>
          <w:color w:val="auto"/>
          <w:lang w:eastAsia="zh-CN"/>
        </w:rPr>
        <w:t>仙游大蜚山省级森林公园管委会</w:t>
      </w:r>
      <w:r>
        <w:rPr>
          <w:rStyle w:val="4"/>
          <w:rFonts w:hint="eastAsia" w:ascii="宋体" w:hAnsi="宋体"/>
          <w:color w:val="auto"/>
          <w:kern w:val="2"/>
          <w:sz w:val="32"/>
          <w:szCs w:val="24"/>
          <w:lang w:val="en-US" w:eastAsia="zh-CN" w:bidi="ar-SA"/>
        </w:rPr>
        <w:t>指定的国有公司签订《蜚山安置区二期整体回购协议书》。</w:t>
      </w:r>
    </w:p>
    <w:p>
      <w:pPr>
        <w:widowControl w:val="0"/>
        <w:spacing w:line="560" w:lineRule="exact"/>
        <w:ind w:firstLine="640" w:firstLineChars="200"/>
        <w:rPr>
          <w:rFonts w:hint="eastAsia" w:ascii="宋体" w:hAnsi="宋体" w:eastAsia="黑体"/>
        </w:rPr>
      </w:pPr>
      <w:r>
        <w:rPr>
          <w:rFonts w:hint="eastAsia" w:ascii="宋体" w:hAnsi="宋体" w:eastAsia="黑体"/>
        </w:rPr>
        <w:t>五、拍卖地块条件</w:t>
      </w:r>
    </w:p>
    <w:p>
      <w:pPr>
        <w:widowControl w:val="0"/>
        <w:spacing w:line="560" w:lineRule="exact"/>
        <w:ind w:firstLine="640" w:firstLineChars="200"/>
        <w:rPr>
          <w:rFonts w:hint="eastAsia" w:ascii="宋体" w:hAnsi="宋体"/>
        </w:rPr>
      </w:pPr>
      <w:r>
        <w:rPr>
          <w:rFonts w:hint="eastAsia" w:ascii="宋体" w:hAnsi="宋体"/>
        </w:rPr>
        <w:t>本地块按现状公开拍卖方式有偿出让，竞买人应自行现场踏勘拍卖地块。红线范围内若有不可见的地下埋藏物需要迁移的,由受让人自行办理并承担费用。</w:t>
      </w:r>
    </w:p>
    <w:p>
      <w:pPr>
        <w:widowControl w:val="0"/>
        <w:spacing w:line="560" w:lineRule="exact"/>
        <w:ind w:firstLine="640" w:firstLineChars="200"/>
        <w:rPr>
          <w:rFonts w:hint="eastAsia" w:ascii="宋体" w:hAnsi="宋体" w:eastAsia="黑体"/>
        </w:rPr>
      </w:pPr>
      <w:r>
        <w:rPr>
          <w:rFonts w:hint="eastAsia" w:ascii="宋体" w:hAnsi="宋体" w:eastAsia="黑体"/>
        </w:rPr>
        <w:t>六、拍卖时间和形式</w:t>
      </w:r>
    </w:p>
    <w:p>
      <w:pPr>
        <w:widowControl w:val="0"/>
        <w:spacing w:line="560" w:lineRule="exact"/>
        <w:ind w:firstLine="640" w:firstLineChars="200"/>
        <w:rPr>
          <w:rFonts w:hint="eastAsia" w:ascii="宋体" w:hAnsi="宋体"/>
        </w:rPr>
      </w:pPr>
      <w:r>
        <w:rPr>
          <w:rFonts w:hint="eastAsia" w:ascii="宋体" w:hAnsi="宋体"/>
        </w:rPr>
        <w:t>在拍卖出让方案经县政府批准后，拍卖公告按规定提前二十天在有关媒体上刊登 。</w:t>
      </w:r>
    </w:p>
    <w:p>
      <w:pPr>
        <w:widowControl w:val="0"/>
        <w:spacing w:line="560" w:lineRule="exact"/>
        <w:ind w:firstLine="640" w:firstLineChars="200"/>
        <w:rPr>
          <w:rFonts w:hint="eastAsia" w:ascii="宋体" w:hAnsi="宋体" w:cs="Times New Roman"/>
          <w:color w:val="auto"/>
          <w:sz w:val="32"/>
          <w:szCs w:val="24"/>
          <w:highlight w:val="none"/>
        </w:rPr>
      </w:pPr>
      <w:r>
        <w:rPr>
          <w:rFonts w:hint="eastAsia" w:ascii="宋体" w:hAnsi="宋体" w:eastAsia="仿宋"/>
          <w:bCs/>
          <w:kern w:val="0"/>
          <w:szCs w:val="28"/>
        </w:rPr>
        <w:t>该宗地</w:t>
      </w:r>
      <w:r>
        <w:rPr>
          <w:rFonts w:hint="eastAsia" w:ascii="宋体" w:hAnsi="宋体" w:eastAsia="仿宋" w:cs="仿宋_GB2312"/>
          <w:szCs w:val="32"/>
        </w:rPr>
        <w:t>采</w:t>
      </w:r>
      <w:r>
        <w:rPr>
          <w:rFonts w:hint="eastAsia" w:ascii="宋体" w:hAnsi="宋体" w:eastAsia="仿宋"/>
          <w:szCs w:val="32"/>
        </w:rPr>
        <w:t>取“地上地下整体回购”方式</w:t>
      </w:r>
      <w:r>
        <w:rPr>
          <w:rFonts w:hint="eastAsia" w:ascii="宋体" w:hAnsi="宋体" w:eastAsia="仿宋" w:cs="仿宋_GB2312"/>
          <w:szCs w:val="32"/>
        </w:rPr>
        <w:t>出让</w:t>
      </w:r>
      <w:r>
        <w:rPr>
          <w:rFonts w:hint="eastAsia" w:ascii="宋体" w:hAnsi="宋体" w:eastAsia="仿宋"/>
          <w:bCs/>
          <w:szCs w:val="32"/>
        </w:rPr>
        <w:t>，</w:t>
      </w:r>
      <w:r>
        <w:rPr>
          <w:rFonts w:hint="eastAsia" w:ascii="宋体" w:hAnsi="宋体"/>
        </w:rPr>
        <w:t>即地上回购平均单价</w:t>
      </w:r>
      <w:r>
        <w:rPr>
          <w:rFonts w:hint="eastAsia" w:ascii="宋体" w:hAnsi="宋体"/>
          <w:lang w:val="en-US" w:eastAsia="zh-CN"/>
        </w:rPr>
        <w:t>5111</w:t>
      </w:r>
      <w:r>
        <w:rPr>
          <w:rFonts w:hint="eastAsia" w:ascii="宋体" w:hAnsi="宋体"/>
        </w:rPr>
        <w:t>元/㎡，地下回购平均单价</w:t>
      </w:r>
      <w:r>
        <w:rPr>
          <w:rFonts w:hint="eastAsia" w:ascii="宋体" w:hAnsi="宋体"/>
          <w:lang w:val="en-US" w:eastAsia="zh-CN"/>
        </w:rPr>
        <w:t>3634</w:t>
      </w:r>
      <w:r>
        <w:rPr>
          <w:rFonts w:hint="eastAsia" w:ascii="宋体" w:hAnsi="宋体"/>
        </w:rPr>
        <w:t>元/㎡</w:t>
      </w:r>
      <w:r>
        <w:rPr>
          <w:rFonts w:hint="eastAsia" w:ascii="宋体" w:hAnsi="宋体"/>
          <w:color w:val="auto"/>
          <w:highlight w:val="none"/>
        </w:rPr>
        <w:t>（</w:t>
      </w:r>
      <w:r>
        <w:rPr>
          <w:rFonts w:hint="eastAsia" w:ascii="宋体" w:hAnsi="宋体" w:eastAsia="仿宋"/>
          <w:bCs/>
          <w:color w:val="auto"/>
          <w:kern w:val="0"/>
          <w:szCs w:val="28"/>
          <w:highlight w:val="none"/>
        </w:rPr>
        <w:t>详见《</w:t>
      </w:r>
      <w:r>
        <w:rPr>
          <w:rFonts w:hint="eastAsia" w:ascii="宋体" w:hAnsi="宋体" w:eastAsia="仿宋"/>
          <w:bCs/>
          <w:color w:val="auto"/>
          <w:kern w:val="0"/>
          <w:szCs w:val="28"/>
          <w:highlight w:val="none"/>
          <w:lang w:eastAsia="zh-CN"/>
        </w:rPr>
        <w:t>关于蜚山安置区二期</w:t>
      </w:r>
      <w:r>
        <w:rPr>
          <w:rFonts w:hint="eastAsia" w:ascii="宋体" w:hAnsi="宋体" w:eastAsia="仿宋_GB2312"/>
          <w:b w:val="0"/>
          <w:color w:val="auto"/>
          <w:sz w:val="32"/>
          <w:highlight w:val="none"/>
        </w:rPr>
        <w:t>公开出让及房产整体回购方案的函</w:t>
      </w:r>
      <w:r>
        <w:rPr>
          <w:rFonts w:hint="eastAsia" w:ascii="宋体" w:hAnsi="宋体" w:eastAsia="仿宋"/>
          <w:bCs/>
          <w:color w:val="auto"/>
          <w:kern w:val="0"/>
          <w:szCs w:val="28"/>
          <w:highlight w:val="none"/>
        </w:rPr>
        <w:t>》（仙蜚管[2022]1</w:t>
      </w:r>
      <w:r>
        <w:rPr>
          <w:rFonts w:hint="eastAsia" w:ascii="宋体" w:hAnsi="宋体" w:eastAsia="仿宋"/>
          <w:bCs/>
          <w:color w:val="auto"/>
          <w:kern w:val="0"/>
          <w:szCs w:val="28"/>
          <w:highlight w:val="none"/>
          <w:lang w:val="en-US" w:eastAsia="zh-CN"/>
        </w:rPr>
        <w:t>5</w:t>
      </w:r>
      <w:r>
        <w:rPr>
          <w:rFonts w:hint="eastAsia" w:ascii="宋体" w:hAnsi="宋体" w:eastAsia="仿宋"/>
          <w:bCs/>
          <w:color w:val="auto"/>
          <w:kern w:val="0"/>
          <w:szCs w:val="28"/>
          <w:highlight w:val="none"/>
        </w:rPr>
        <w:t>号）文件）</w:t>
      </w:r>
      <w:r>
        <w:rPr>
          <w:rFonts w:hint="eastAsia" w:ascii="宋体" w:hAnsi="宋体"/>
          <w:color w:val="auto"/>
          <w:highlight w:val="none"/>
        </w:rPr>
        <w:t>。起始价</w:t>
      </w:r>
      <w:r>
        <w:rPr>
          <w:rFonts w:hint="eastAsia" w:ascii="宋体" w:hAnsi="宋体"/>
          <w:color w:val="auto"/>
          <w:highlight w:val="none"/>
          <w:lang w:val="en-US" w:eastAsia="zh-CN"/>
        </w:rPr>
        <w:t>18000</w:t>
      </w:r>
      <w:r>
        <w:rPr>
          <w:rFonts w:hint="eastAsia" w:ascii="宋体" w:hAnsi="宋体"/>
          <w:color w:val="auto"/>
          <w:highlight w:val="none"/>
        </w:rPr>
        <w:t>万元，加价幅度100万元或100万元整数倍，拍卖保留价另行确定，价高者得</w:t>
      </w:r>
      <w:r>
        <w:rPr>
          <w:rFonts w:hint="eastAsia" w:ascii="宋体" w:hAnsi="宋体" w:cs="Times New Roman"/>
          <w:color w:val="auto"/>
          <w:sz w:val="32"/>
          <w:szCs w:val="24"/>
          <w:highlight w:val="none"/>
        </w:rPr>
        <w:t>。</w:t>
      </w:r>
    </w:p>
    <w:p>
      <w:pPr>
        <w:widowControl w:val="0"/>
        <w:spacing w:line="560" w:lineRule="exact"/>
        <w:ind w:firstLine="640" w:firstLineChars="200"/>
        <w:rPr>
          <w:rFonts w:hint="default" w:ascii="宋体" w:hAnsi="宋体" w:cs="Times New Roman"/>
          <w:color w:val="auto"/>
          <w:sz w:val="32"/>
          <w:szCs w:val="24"/>
          <w:highlight w:val="none"/>
          <w:lang w:val="en-US" w:eastAsia="zh-CN"/>
        </w:rPr>
      </w:pPr>
      <w:r>
        <w:rPr>
          <w:rFonts w:hint="eastAsia" w:ascii="宋体" w:hAnsi="宋体" w:eastAsia="仿宋" w:cs="仿宋"/>
          <w:color w:val="auto"/>
          <w:sz w:val="32"/>
          <w:szCs w:val="32"/>
          <w:highlight w:val="none"/>
        </w:rPr>
        <w:t>项目建筑规划方案和主体工程及土建配套施工图</w:t>
      </w:r>
      <w:r>
        <w:rPr>
          <w:rFonts w:hint="eastAsia" w:ascii="宋体" w:hAnsi="宋体" w:eastAsia="仿宋" w:cs="仿宋"/>
          <w:color w:val="auto"/>
          <w:sz w:val="32"/>
          <w:szCs w:val="32"/>
          <w:highlight w:val="none"/>
          <w:lang w:val="en-US" w:eastAsia="zh-CN"/>
        </w:rPr>
        <w:t>的</w:t>
      </w:r>
      <w:r>
        <w:rPr>
          <w:rFonts w:hint="eastAsia" w:ascii="宋体" w:hAnsi="宋体" w:eastAsia="仿宋" w:cs="仿宋"/>
          <w:color w:val="auto"/>
          <w:sz w:val="32"/>
          <w:szCs w:val="32"/>
          <w:highlight w:val="none"/>
        </w:rPr>
        <w:t>勘察、设计及图审费共</w:t>
      </w:r>
      <w:r>
        <w:rPr>
          <w:rFonts w:hint="eastAsia" w:ascii="宋体" w:hAnsi="宋体" w:eastAsia="仿宋" w:cs="仿宋"/>
          <w:color w:val="auto"/>
          <w:sz w:val="32"/>
          <w:szCs w:val="32"/>
          <w:highlight w:val="none"/>
          <w:lang w:val="en-US" w:eastAsia="zh-CN"/>
        </w:rPr>
        <w:t>523</w:t>
      </w:r>
      <w:r>
        <w:rPr>
          <w:rFonts w:hint="eastAsia" w:ascii="宋体" w:hAnsi="宋体" w:eastAsia="仿宋" w:cs="仿宋"/>
          <w:color w:val="auto"/>
          <w:sz w:val="32"/>
          <w:szCs w:val="32"/>
          <w:highlight w:val="none"/>
        </w:rPr>
        <w:t>万元</w:t>
      </w:r>
      <w:r>
        <w:rPr>
          <w:rFonts w:hint="eastAsia" w:ascii="宋体" w:hAnsi="宋体" w:eastAsia="仿宋" w:cs="仿宋"/>
          <w:color w:val="auto"/>
          <w:sz w:val="32"/>
          <w:szCs w:val="32"/>
          <w:highlight w:val="none"/>
          <w:lang w:eastAsia="zh-CN"/>
        </w:rPr>
        <w:t>，</w:t>
      </w:r>
      <w:r>
        <w:rPr>
          <w:rFonts w:hint="eastAsia" w:ascii="宋体" w:hAnsi="宋体" w:eastAsia="仿宋" w:cs="仿宋"/>
          <w:color w:val="auto"/>
          <w:sz w:val="32"/>
          <w:szCs w:val="32"/>
          <w:highlight w:val="none"/>
          <w:lang w:val="en-US" w:eastAsia="zh-CN"/>
        </w:rPr>
        <w:t>由土地竞得者另行承担。</w:t>
      </w:r>
    </w:p>
    <w:p>
      <w:pPr>
        <w:widowControl w:val="0"/>
        <w:spacing w:line="560" w:lineRule="exact"/>
        <w:ind w:firstLine="640" w:firstLineChars="200"/>
        <w:rPr>
          <w:rFonts w:hint="eastAsia" w:ascii="宋体" w:hAnsi="宋体" w:eastAsia="黑体"/>
        </w:rPr>
      </w:pPr>
      <w:r>
        <w:rPr>
          <w:rFonts w:hint="eastAsia" w:ascii="宋体" w:hAnsi="宋体" w:eastAsia="黑体"/>
        </w:rPr>
        <w:t>七、竞买对象及条件</w:t>
      </w:r>
    </w:p>
    <w:p>
      <w:pPr>
        <w:widowControl w:val="0"/>
        <w:spacing w:line="560" w:lineRule="exact"/>
        <w:ind w:firstLine="640" w:firstLineChars="200"/>
        <w:rPr>
          <w:rFonts w:hint="eastAsia" w:ascii="宋体" w:hAnsi="宋体"/>
        </w:rPr>
      </w:pPr>
      <w:r>
        <w:rPr>
          <w:rFonts w:hint="eastAsia" w:ascii="宋体" w:hAnsi="宋体"/>
        </w:rPr>
        <w:t>（一）竞买申请人同时具备以下条件的方能参与土地竞买：</w:t>
      </w:r>
    </w:p>
    <w:p>
      <w:pPr>
        <w:widowControl w:val="0"/>
        <w:spacing w:line="560" w:lineRule="exact"/>
        <w:ind w:firstLine="640" w:firstLineChars="200"/>
        <w:rPr>
          <w:rFonts w:hint="eastAsia" w:ascii="宋体" w:hAnsi="宋体"/>
        </w:rPr>
      </w:pPr>
      <w:r>
        <w:rPr>
          <w:rFonts w:hint="eastAsia" w:ascii="宋体" w:hAnsi="宋体"/>
        </w:rPr>
        <w:t>1</w:t>
      </w:r>
      <w:r>
        <w:rPr>
          <w:rFonts w:hint="eastAsia" w:ascii="宋体" w:hAnsi="宋体"/>
          <w:lang w:val="en-US" w:eastAsia="zh-CN"/>
        </w:rPr>
        <w:t>.</w:t>
      </w:r>
      <w:r>
        <w:rPr>
          <w:rFonts w:hint="eastAsia" w:ascii="宋体" w:hAnsi="宋体"/>
        </w:rPr>
        <w:t>实行“网络报</w:t>
      </w:r>
      <w:r>
        <w:rPr>
          <w:rFonts w:hint="eastAsia" w:ascii="宋体" w:hAnsi="宋体"/>
          <w:highlight w:val="none"/>
        </w:rPr>
        <w:t>名</w:t>
      </w:r>
      <w:r>
        <w:rPr>
          <w:rFonts w:hint="eastAsia" w:ascii="宋体" w:hAnsi="宋体"/>
          <w:highlight w:val="none"/>
          <w:lang w:eastAsia="zh-CN"/>
        </w:rPr>
        <w:t>、</w:t>
      </w:r>
      <w:r>
        <w:rPr>
          <w:rFonts w:hint="eastAsia" w:ascii="宋体" w:hAnsi="宋体"/>
          <w:highlight w:val="none"/>
        </w:rPr>
        <w:t>现场审核</w:t>
      </w:r>
      <w:r>
        <w:rPr>
          <w:rFonts w:hint="eastAsia" w:ascii="宋体" w:hAnsi="宋体"/>
          <w:highlight w:val="none"/>
          <w:lang w:eastAsia="zh-CN"/>
        </w:rPr>
        <w:t>、</w:t>
      </w:r>
      <w:r>
        <w:rPr>
          <w:rFonts w:hint="eastAsia" w:ascii="宋体" w:hAnsi="宋体"/>
          <w:highlight w:val="none"/>
        </w:rPr>
        <w:t>现场交易”制度，所有竞买人必须通过“《福建省土地使用权出让管理系统》（网上交易模块）新系统试运行”</w:t>
      </w:r>
      <w:r>
        <w:rPr>
          <w:rFonts w:hint="eastAsia" w:ascii="宋体" w:hAnsi="宋体"/>
          <w:highlight w:val="none"/>
          <w:lang w:eastAsia="zh-CN"/>
        </w:rPr>
        <w:t>（由福建省自然资源厅官网登入）</w:t>
      </w:r>
      <w:r>
        <w:rPr>
          <w:rFonts w:hint="eastAsia" w:ascii="宋体" w:hAnsi="宋体"/>
          <w:highlight w:val="none"/>
        </w:rPr>
        <w:t>进行</w:t>
      </w:r>
      <w:r>
        <w:rPr>
          <w:rFonts w:hint="eastAsia" w:ascii="宋体" w:hAnsi="宋体"/>
          <w:highlight w:val="none"/>
          <w:lang w:eastAsia="zh-CN"/>
        </w:rPr>
        <w:t>竞买人申请</w:t>
      </w:r>
      <w:r>
        <w:rPr>
          <w:rFonts w:hint="eastAsia" w:ascii="宋体" w:hAnsi="宋体"/>
          <w:highlight w:val="none"/>
        </w:rPr>
        <w:t>注册登记</w:t>
      </w:r>
      <w:r>
        <w:rPr>
          <w:rFonts w:hint="eastAsia" w:ascii="宋体" w:hAnsi="宋体"/>
          <w:highlight w:val="none"/>
          <w:lang w:eastAsia="zh-CN"/>
        </w:rPr>
        <w:t>，</w:t>
      </w:r>
      <w:r>
        <w:rPr>
          <w:rFonts w:hint="eastAsia" w:ascii="宋体" w:hAnsi="宋体"/>
          <w:highlight w:val="none"/>
          <w:lang w:val="en-US" w:eastAsia="zh-CN"/>
        </w:rPr>
        <w:t>根据</w:t>
      </w:r>
      <w:r>
        <w:rPr>
          <w:rFonts w:hint="eastAsia" w:ascii="宋体" w:hAnsi="宋体"/>
          <w:highlight w:val="none"/>
        </w:rPr>
        <w:t>系</w:t>
      </w:r>
      <w:r>
        <w:rPr>
          <w:rFonts w:hint="eastAsia" w:ascii="宋体" w:hAnsi="宋体"/>
        </w:rPr>
        <w:t>统要求提交申请</w:t>
      </w:r>
      <w:r>
        <w:rPr>
          <w:rFonts w:hint="eastAsia" w:ascii="宋体" w:hAnsi="宋体"/>
          <w:lang w:eastAsia="zh-CN"/>
        </w:rPr>
        <w:t>材料</w:t>
      </w:r>
      <w:r>
        <w:rPr>
          <w:rFonts w:hint="eastAsia" w:ascii="宋体" w:hAnsi="宋体"/>
        </w:rPr>
        <w:t>，并按公告通知时间携带相应纸质申请材料（一式两份且应与网上提交申请材料相符）准时前往仙游县行政服务中心312室进行现场资格审核，审核结束后随即进行现场交易。在仙游县境内尚欠土地出让金者，不予申请竞买。</w:t>
      </w:r>
    </w:p>
    <w:p>
      <w:pPr>
        <w:widowControl w:val="0"/>
        <w:spacing w:line="560" w:lineRule="exact"/>
        <w:ind w:firstLine="640" w:firstLineChars="200"/>
        <w:rPr>
          <w:rFonts w:hint="eastAsia" w:ascii="宋体" w:hAnsi="宋体"/>
        </w:rPr>
      </w:pPr>
      <w:r>
        <w:rPr>
          <w:rFonts w:hint="eastAsia" w:ascii="宋体" w:hAnsi="宋体"/>
        </w:rPr>
        <w:t>2</w:t>
      </w:r>
      <w:r>
        <w:rPr>
          <w:rFonts w:hint="eastAsia" w:ascii="宋体" w:hAnsi="宋体"/>
          <w:lang w:val="en-US" w:eastAsia="zh-CN"/>
        </w:rPr>
        <w:t>.</w:t>
      </w:r>
      <w:r>
        <w:rPr>
          <w:rFonts w:hint="eastAsia" w:ascii="宋体" w:hAnsi="宋体"/>
        </w:rPr>
        <w:t>竞买申请人只可单独竞买，不得联合竞买。</w:t>
      </w:r>
    </w:p>
    <w:p>
      <w:pPr>
        <w:widowControl w:val="0"/>
        <w:spacing w:line="560" w:lineRule="exact"/>
        <w:ind w:firstLine="640" w:firstLineChars="200"/>
        <w:rPr>
          <w:rFonts w:hint="eastAsia" w:ascii="宋体" w:hAnsi="宋体"/>
        </w:rPr>
      </w:pPr>
      <w:r>
        <w:rPr>
          <w:rFonts w:hint="eastAsia" w:ascii="宋体" w:hAnsi="宋体"/>
        </w:rPr>
        <w:t>3</w:t>
      </w:r>
      <w:r>
        <w:rPr>
          <w:rFonts w:hint="eastAsia" w:ascii="宋体" w:hAnsi="宋体"/>
          <w:color w:val="FF0000"/>
          <w:lang w:val="en-US" w:eastAsia="zh-CN"/>
        </w:rPr>
        <w:t>.</w:t>
      </w:r>
      <w:r>
        <w:rPr>
          <w:rFonts w:hint="eastAsia" w:ascii="宋体" w:hAnsi="宋体"/>
        </w:rPr>
        <w:t>竞买申请人须全面阅读本拍卖出让方案，一经提交申请资格审查，视为对拍卖出让方案及地块现状无异议并全面接受，在现场资格审核后签订现状确认书。拍卖成交后，竞得人对拍卖地块提出异议的，概不受理。</w:t>
      </w:r>
    </w:p>
    <w:p>
      <w:pPr>
        <w:widowControl w:val="0"/>
        <w:spacing w:line="560" w:lineRule="exact"/>
        <w:ind w:firstLine="640" w:firstLineChars="200"/>
        <w:rPr>
          <w:rFonts w:hint="eastAsia" w:ascii="宋体" w:hAnsi="宋体"/>
        </w:rPr>
      </w:pPr>
      <w:r>
        <w:rPr>
          <w:rFonts w:hint="eastAsia" w:ascii="宋体" w:hAnsi="宋体"/>
        </w:rPr>
        <w:t>（二）竞买保证金注意事项：</w:t>
      </w:r>
    </w:p>
    <w:p>
      <w:pPr>
        <w:widowControl w:val="0"/>
        <w:spacing w:line="560" w:lineRule="exact"/>
        <w:ind w:firstLine="640" w:firstLineChars="200"/>
        <w:rPr>
          <w:rFonts w:hint="eastAsia" w:ascii="宋体" w:hAnsi="宋体"/>
        </w:rPr>
      </w:pPr>
      <w:r>
        <w:rPr>
          <w:rFonts w:hint="eastAsia" w:ascii="宋体" w:hAnsi="宋体"/>
        </w:rPr>
        <w:t>1</w:t>
      </w:r>
      <w:r>
        <w:rPr>
          <w:rFonts w:hint="eastAsia" w:ascii="宋体" w:hAnsi="宋体"/>
          <w:lang w:val="en-US" w:eastAsia="zh-CN"/>
        </w:rPr>
        <w:t>.</w:t>
      </w:r>
      <w:r>
        <w:rPr>
          <w:rFonts w:hint="eastAsia" w:ascii="宋体" w:hAnsi="宋体"/>
        </w:rPr>
        <w:t>中华人民共和国境内外的法人、自然人或其他组织，在交付竞买保证金</w:t>
      </w:r>
      <w:r>
        <w:rPr>
          <w:rFonts w:hint="eastAsia" w:ascii="宋体" w:hAnsi="宋体"/>
          <w:lang w:val="en-US" w:eastAsia="zh-CN"/>
        </w:rPr>
        <w:t>3600</w:t>
      </w:r>
      <w:r>
        <w:rPr>
          <w:rFonts w:hint="eastAsia" w:ascii="宋体" w:hAnsi="宋体"/>
        </w:rPr>
        <w:t>万元人民币之后（竞买申请人须出具承诺书保证支付的竞买保证金不属于房地产开发贷款、银行理财、募集、发行债券、信托计划、资产管理计划等融资资金，涉及购地的全部资金均为本单位（人）合规自有资金。如该地块竞得人虚假提供或隐瞒事实出具上述承诺书的，出让人将取消竞得人的竞得资格，已缴纳的竞买保证金不予返还；已签订《国有建设用地使用权出让合同》的，出让人解除《国有建设用地使用权出让合同》并收回土地，定金不予返还），均可按指定的时间和场合参加竞买。</w:t>
      </w:r>
    </w:p>
    <w:p>
      <w:pPr>
        <w:widowControl w:val="0"/>
        <w:wordWrap/>
        <w:spacing w:line="56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2.开户名称：仙游县自然资源局</w:t>
      </w:r>
    </w:p>
    <w:p>
      <w:pPr>
        <w:widowControl w:val="0"/>
        <w:wordWrap/>
        <w:spacing w:line="56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开户行:邮政储蓄银行仙游</w:t>
      </w:r>
      <w:r>
        <w:rPr>
          <w:rStyle w:val="4"/>
          <w:rFonts w:hint="eastAsia" w:ascii="宋体" w:hAnsi="宋体"/>
          <w:color w:val="auto"/>
          <w:kern w:val="2"/>
          <w:sz w:val="32"/>
          <w:szCs w:val="24"/>
          <w:lang w:val="en-US" w:eastAsia="zh-CN" w:bidi="ar-SA"/>
        </w:rPr>
        <w:t>县</w:t>
      </w:r>
      <w:r>
        <w:rPr>
          <w:rStyle w:val="4"/>
          <w:rFonts w:ascii="宋体" w:hAnsi="宋体" w:eastAsia="仿宋_GB2312"/>
          <w:color w:val="auto"/>
          <w:kern w:val="2"/>
          <w:sz w:val="32"/>
          <w:szCs w:val="24"/>
          <w:lang w:val="en-US" w:eastAsia="zh-CN" w:bidi="ar-SA"/>
        </w:rPr>
        <w:t xml:space="preserve">支行    </w:t>
      </w:r>
    </w:p>
    <w:p>
      <w:pPr>
        <w:widowControl w:val="0"/>
        <w:wordWrap/>
        <w:spacing w:line="56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账号:935008010011918936；</w:t>
      </w:r>
    </w:p>
    <w:p>
      <w:pPr>
        <w:widowControl w:val="0"/>
        <w:wordWrap/>
        <w:spacing w:line="56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 xml:space="preserve">开户行:工商银行莆田燕顶支行 </w:t>
      </w:r>
    </w:p>
    <w:p>
      <w:pPr>
        <w:widowControl w:val="0"/>
        <w:wordWrap/>
        <w:spacing w:line="56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账号:1405504119000007894；</w:t>
      </w:r>
    </w:p>
    <w:p>
      <w:pPr>
        <w:widowControl w:val="0"/>
        <w:wordWrap/>
        <w:spacing w:line="56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 xml:space="preserve">开户行:民生银行莆田仙游鲤中支行    </w:t>
      </w:r>
    </w:p>
    <w:p>
      <w:pPr>
        <w:widowControl w:val="0"/>
        <w:wordWrap/>
        <w:spacing w:line="56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账号:630737196；</w:t>
      </w:r>
    </w:p>
    <w:p>
      <w:pPr>
        <w:widowControl w:val="0"/>
        <w:wordWrap/>
        <w:spacing w:line="59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 xml:space="preserve">开户行:福建海峡银行仙游支行    </w:t>
      </w:r>
    </w:p>
    <w:p>
      <w:pPr>
        <w:widowControl w:val="0"/>
        <w:wordWrap/>
        <w:spacing w:line="59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账号:100057656120010001；</w:t>
      </w:r>
    </w:p>
    <w:p>
      <w:pPr>
        <w:widowControl w:val="0"/>
        <w:wordWrap/>
        <w:spacing w:line="59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 xml:space="preserve">开户行:建设银行仙游支行    </w:t>
      </w:r>
    </w:p>
    <w:p>
      <w:pPr>
        <w:widowControl w:val="0"/>
        <w:wordWrap/>
        <w:spacing w:line="590" w:lineRule="exact"/>
        <w:ind w:left="0" w:leftChars="0" w:firstLine="640" w:firstLineChars="200"/>
        <w:jc w:val="both"/>
        <w:textAlignment w:val="auto"/>
        <w:rPr>
          <w:rStyle w:val="4"/>
          <w:rFonts w:hint="eastAsia" w:ascii="宋体" w:hAnsi="宋体"/>
          <w:color w:val="auto"/>
          <w:kern w:val="2"/>
          <w:sz w:val="32"/>
          <w:szCs w:val="24"/>
          <w:lang w:val="en-US" w:eastAsia="zh-CN" w:bidi="ar-SA"/>
        </w:rPr>
      </w:pPr>
      <w:r>
        <w:rPr>
          <w:rStyle w:val="4"/>
          <w:rFonts w:ascii="宋体" w:hAnsi="宋体" w:eastAsia="仿宋_GB2312"/>
          <w:color w:val="auto"/>
          <w:kern w:val="2"/>
          <w:sz w:val="32"/>
          <w:szCs w:val="24"/>
          <w:lang w:val="en-US" w:eastAsia="zh-CN" w:bidi="ar-SA"/>
        </w:rPr>
        <w:t>账号:35050163630700001938</w:t>
      </w:r>
      <w:r>
        <w:rPr>
          <w:rStyle w:val="4"/>
          <w:rFonts w:hint="eastAsia" w:ascii="宋体" w:hAnsi="宋体"/>
          <w:color w:val="auto"/>
          <w:kern w:val="2"/>
          <w:sz w:val="32"/>
          <w:szCs w:val="24"/>
          <w:lang w:val="en-US" w:eastAsia="zh-CN" w:bidi="ar-SA"/>
        </w:rPr>
        <w:t>；</w:t>
      </w:r>
    </w:p>
    <w:p>
      <w:pPr>
        <w:widowControl w:val="0"/>
        <w:wordWrap/>
        <w:spacing w:line="590" w:lineRule="exact"/>
        <w:ind w:left="0" w:leftChars="0" w:firstLine="640" w:firstLineChars="200"/>
        <w:jc w:val="both"/>
        <w:textAlignment w:val="auto"/>
        <w:rPr>
          <w:rStyle w:val="4"/>
          <w:rFonts w:ascii="宋体" w:hAnsi="宋体" w:eastAsia="仿宋_GB2312"/>
          <w:color w:val="auto"/>
          <w:kern w:val="2"/>
          <w:sz w:val="32"/>
          <w:szCs w:val="24"/>
          <w:lang w:val="en-US" w:eastAsia="zh-CN" w:bidi="ar-SA"/>
        </w:rPr>
      </w:pPr>
      <w:r>
        <w:rPr>
          <w:rStyle w:val="4"/>
          <w:rFonts w:ascii="宋体" w:hAnsi="宋体" w:eastAsia="仿宋_GB2312"/>
          <w:color w:val="auto"/>
          <w:kern w:val="2"/>
          <w:sz w:val="32"/>
          <w:szCs w:val="24"/>
          <w:lang w:val="en-US" w:eastAsia="zh-CN" w:bidi="ar-SA"/>
        </w:rPr>
        <w:t>开户行:</w:t>
      </w:r>
      <w:r>
        <w:rPr>
          <w:rStyle w:val="4"/>
          <w:rFonts w:hint="eastAsia" w:ascii="宋体" w:hAnsi="宋体"/>
          <w:color w:val="auto"/>
          <w:kern w:val="2"/>
          <w:sz w:val="32"/>
          <w:szCs w:val="24"/>
          <w:lang w:val="en-US" w:eastAsia="zh-CN" w:bidi="ar-SA"/>
        </w:rPr>
        <w:t>兴业</w:t>
      </w:r>
      <w:r>
        <w:rPr>
          <w:rStyle w:val="4"/>
          <w:rFonts w:ascii="宋体" w:hAnsi="宋体" w:eastAsia="仿宋_GB2312"/>
          <w:color w:val="auto"/>
          <w:kern w:val="2"/>
          <w:sz w:val="32"/>
          <w:szCs w:val="24"/>
          <w:lang w:val="en-US" w:eastAsia="zh-CN" w:bidi="ar-SA"/>
        </w:rPr>
        <w:t>银行</w:t>
      </w:r>
      <w:r>
        <w:rPr>
          <w:rStyle w:val="4"/>
          <w:rFonts w:hint="eastAsia" w:ascii="宋体" w:hAnsi="宋体"/>
          <w:color w:val="auto"/>
          <w:kern w:val="2"/>
          <w:sz w:val="32"/>
          <w:szCs w:val="24"/>
          <w:lang w:val="en-US" w:eastAsia="zh-CN" w:bidi="ar-SA"/>
        </w:rPr>
        <w:t>莆田</w:t>
      </w:r>
      <w:r>
        <w:rPr>
          <w:rStyle w:val="4"/>
          <w:rFonts w:ascii="宋体" w:hAnsi="宋体" w:eastAsia="仿宋_GB2312"/>
          <w:color w:val="auto"/>
          <w:kern w:val="2"/>
          <w:sz w:val="32"/>
          <w:szCs w:val="24"/>
          <w:lang w:val="en-US" w:eastAsia="zh-CN" w:bidi="ar-SA"/>
        </w:rPr>
        <w:t>仙游支行</w:t>
      </w:r>
    </w:p>
    <w:p>
      <w:pPr>
        <w:widowControl w:val="0"/>
        <w:wordWrap/>
        <w:spacing w:line="590" w:lineRule="exact"/>
        <w:ind w:left="0" w:leftChars="0" w:firstLine="640" w:firstLineChars="200"/>
        <w:jc w:val="both"/>
        <w:textAlignment w:val="auto"/>
        <w:rPr>
          <w:rFonts w:hint="eastAsia" w:ascii="宋体" w:hAnsi="宋体"/>
        </w:rPr>
      </w:pPr>
      <w:r>
        <w:rPr>
          <w:rStyle w:val="4"/>
          <w:rFonts w:ascii="宋体" w:hAnsi="宋体" w:eastAsia="仿宋_GB2312"/>
          <w:color w:val="auto"/>
          <w:kern w:val="2"/>
          <w:sz w:val="32"/>
          <w:szCs w:val="24"/>
          <w:lang w:val="en-US" w:eastAsia="zh-CN" w:bidi="ar-SA"/>
        </w:rPr>
        <w:t>账号:</w:t>
      </w:r>
      <w:r>
        <w:rPr>
          <w:rStyle w:val="4"/>
          <w:rFonts w:hint="eastAsia" w:ascii="宋体" w:hAnsi="宋体"/>
          <w:color w:val="auto"/>
          <w:kern w:val="2"/>
          <w:sz w:val="32"/>
          <w:szCs w:val="24"/>
          <w:lang w:val="en-US" w:eastAsia="zh-CN" w:bidi="ar-SA"/>
        </w:rPr>
        <w:t>145100100100019205。</w:t>
      </w:r>
    </w:p>
    <w:p>
      <w:pPr>
        <w:widowControl w:val="0"/>
        <w:numPr>
          <w:ilvl w:val="0"/>
          <w:numId w:val="1"/>
        </w:numPr>
        <w:spacing w:line="590" w:lineRule="exact"/>
        <w:ind w:firstLine="640" w:firstLineChars="200"/>
        <w:rPr>
          <w:rFonts w:hint="eastAsia" w:ascii="宋体" w:hAnsi="宋体"/>
        </w:rPr>
      </w:pPr>
      <w:r>
        <w:rPr>
          <w:rFonts w:hint="eastAsia" w:ascii="宋体" w:hAnsi="宋体"/>
        </w:rPr>
        <w:t>所有竞买申请人必须以仙游县行政服务中心统一制作编号的竞价标志牌竞相应价，竞投土地使用权，价高者得。</w:t>
      </w:r>
    </w:p>
    <w:p>
      <w:pPr>
        <w:widowControl w:val="0"/>
        <w:spacing w:line="590" w:lineRule="exact"/>
        <w:ind w:firstLine="640" w:firstLineChars="200"/>
        <w:rPr>
          <w:rFonts w:hint="eastAsia" w:ascii="宋体" w:hAnsi="宋体"/>
        </w:rPr>
      </w:pPr>
      <w:r>
        <w:rPr>
          <w:rFonts w:hint="eastAsia" w:ascii="宋体" w:hAnsi="宋体"/>
        </w:rPr>
        <w:t>（四）土地竞买申请人在竞得土地使用权后，应在仙游县注册成立独立核算的具有开发资质项目开发公司，在仙游县税务部门依法纳税，建设施工单位亦应在仙游县税务部门依法纳税（含企业所得税）。土地出让人可以根据拍卖出让结果，先与土地竞得人签订《国有建设用地使用权出让合同》，在土地竞得人按约定（应自土地使用权出让合同签订之日起90日内）办理完独立核算的项目开发公司后，再与独立核算的项目开发公司签订《国有建设用地使用权出让合同变更协议》；也可按约定直接与独立核算的项目开发公司签订《国有建设用地使用权出让合同》。</w:t>
      </w:r>
    </w:p>
    <w:p>
      <w:pPr>
        <w:widowControl w:val="0"/>
        <w:spacing w:line="590" w:lineRule="exact"/>
        <w:ind w:firstLine="640" w:firstLineChars="200"/>
        <w:rPr>
          <w:rFonts w:hint="eastAsia" w:ascii="宋体" w:hAnsi="宋体" w:eastAsia="黑体"/>
        </w:rPr>
      </w:pPr>
      <w:r>
        <w:rPr>
          <w:rFonts w:hint="eastAsia" w:ascii="宋体" w:hAnsi="宋体" w:eastAsia="黑体"/>
        </w:rPr>
        <w:t>八、税金费缴纳办法</w:t>
      </w:r>
    </w:p>
    <w:p>
      <w:pPr>
        <w:widowControl w:val="0"/>
        <w:spacing w:line="590" w:lineRule="exact"/>
        <w:ind w:firstLine="640" w:firstLineChars="200"/>
        <w:rPr>
          <w:rFonts w:hint="eastAsia" w:ascii="宋体" w:hAnsi="宋体"/>
        </w:rPr>
      </w:pPr>
      <w:r>
        <w:rPr>
          <w:rFonts w:hint="eastAsia" w:ascii="宋体" w:hAnsi="宋体"/>
        </w:rPr>
        <w:t>（一）土地竞得人须在土地出让成交后10个工作日内签订《国有建设用地使用权出让合同》，逾期或拒绝签订《国有建设用地使用权出让合同》的，视为违约，土地出让人可取消其竞得资格，竞买保证金不予返还，土地竞得人还须按成交价的20%支付违约金。竞得人须在出让合同签</w:t>
      </w:r>
      <w:r>
        <w:rPr>
          <w:rFonts w:hint="eastAsia" w:ascii="宋体" w:hAnsi="宋体"/>
          <w:color w:val="auto"/>
        </w:rPr>
        <w:t>订后</w:t>
      </w:r>
      <w:r>
        <w:rPr>
          <w:rFonts w:hint="eastAsia" w:ascii="宋体" w:hAnsi="宋体"/>
          <w:color w:val="auto"/>
          <w:lang w:eastAsia="zh-CN"/>
        </w:rPr>
        <w:t>一</w:t>
      </w:r>
      <w:r>
        <w:rPr>
          <w:rFonts w:hint="eastAsia" w:ascii="宋体" w:hAnsi="宋体"/>
          <w:color w:val="auto"/>
        </w:rPr>
        <w:t>个月内</w:t>
      </w:r>
      <w:r>
        <w:rPr>
          <w:rFonts w:hint="eastAsia" w:ascii="宋体" w:hAnsi="宋体"/>
        </w:rPr>
        <w:t>缴</w:t>
      </w:r>
      <w:r>
        <w:rPr>
          <w:rFonts w:hint="eastAsia" w:ascii="宋体" w:hAnsi="宋体"/>
          <w:lang w:eastAsia="zh-CN"/>
        </w:rPr>
        <w:t>清</w:t>
      </w:r>
      <w:r>
        <w:rPr>
          <w:rFonts w:hint="eastAsia" w:ascii="宋体" w:hAnsi="宋体"/>
        </w:rPr>
        <w:t>出让价款（竞买保证金可直接转为土地出让价款，即抵作土地成交价款）。土地出让价款包括土地成本、前期开发费用、新增建设用地有偿使用费、耕地开垦费、农业土地开发资金等。耕地占用税、契税</w:t>
      </w:r>
      <w:r>
        <w:rPr>
          <w:rFonts w:hint="eastAsia" w:ascii="宋体" w:hAnsi="宋体"/>
          <w:lang w:eastAsia="zh-CN"/>
        </w:rPr>
        <w:t>、城市基础设施配套费</w:t>
      </w:r>
      <w:r>
        <w:rPr>
          <w:rFonts w:hint="eastAsia" w:ascii="宋体" w:hAnsi="宋体"/>
        </w:rPr>
        <w:t>等其它有关的税、金、费由土地竞得人另行缴纳，耕地占用税应在《国有建设用地使用权出让合同》签订之日起30日内缴纳，契税应在《国有建设用地使用权出让合同》签订之日起10日内缴纳。拍卖地块有关产权证件及建设需要审批手续由买受人自行及时办理并承担相关费用。</w:t>
      </w:r>
    </w:p>
    <w:p>
      <w:pPr>
        <w:widowControl w:val="0"/>
        <w:spacing w:line="590" w:lineRule="exact"/>
        <w:ind w:firstLine="640" w:firstLineChars="200"/>
        <w:rPr>
          <w:rFonts w:hint="eastAsia" w:ascii="宋体" w:hAnsi="宋体"/>
        </w:rPr>
      </w:pPr>
      <w:r>
        <w:rPr>
          <w:rFonts w:hint="eastAsia" w:ascii="宋体" w:hAnsi="宋体"/>
        </w:rPr>
        <w:t>（二）土地竞得人不得以任何理由和借口拖缴土地出让价款，若逾期未缴清的，自逾期之日起，每日按迟延支付款项的1‰向出让人缴纳滞纳金，逾期付款超过60日，经出让人催交后</w:t>
      </w:r>
      <w:r>
        <w:rPr>
          <w:rFonts w:hint="default" w:ascii="宋体" w:hAnsi="宋体"/>
          <w:lang w:val="en-US"/>
        </w:rPr>
        <w:t>10日内</w:t>
      </w:r>
      <w:r>
        <w:rPr>
          <w:rFonts w:hint="eastAsia" w:ascii="宋体" w:hAnsi="宋体"/>
        </w:rPr>
        <w:t>仍不能缴清土地出让价款的，土地出让人有权收回该幅土地使用权，并解除与土地竞得人签订的《国有建设用地使用权出让合同》，同时不予返还竞买保证金。因土地竞得人违约行为造成另行出让该地块的成交价款低于原拍卖成交价的，土地竞得人还应按实际差额向土地出让人支付赔偿金及向仙游县行政服务中心支付拍卖交易的相关费用。</w:t>
      </w:r>
    </w:p>
    <w:p>
      <w:pPr>
        <w:widowControl w:val="0"/>
        <w:spacing w:line="560" w:lineRule="exact"/>
        <w:ind w:firstLine="640" w:firstLineChars="200"/>
        <w:rPr>
          <w:rFonts w:hint="eastAsia" w:ascii="宋体" w:hAnsi="宋体"/>
        </w:rPr>
      </w:pPr>
      <w:r>
        <w:rPr>
          <w:rFonts w:hint="eastAsia" w:ascii="宋体" w:hAnsi="宋体" w:eastAsia="黑体"/>
        </w:rPr>
        <w:t>九、其他事项</w:t>
      </w:r>
    </w:p>
    <w:p>
      <w:pPr>
        <w:widowControl w:val="0"/>
        <w:spacing w:line="560" w:lineRule="exact"/>
        <w:ind w:firstLine="640" w:firstLineChars="200"/>
        <w:rPr>
          <w:rFonts w:hint="eastAsia" w:ascii="宋体" w:hAnsi="宋体"/>
        </w:rPr>
      </w:pPr>
      <w:r>
        <w:rPr>
          <w:rFonts w:hint="eastAsia" w:ascii="宋体" w:hAnsi="宋体"/>
        </w:rPr>
        <w:t>1、竞买拍卖地点：仙游县行政服务中心312室。</w:t>
      </w:r>
    </w:p>
    <w:p>
      <w:pPr>
        <w:widowControl w:val="0"/>
        <w:spacing w:line="560" w:lineRule="exact"/>
        <w:ind w:firstLine="640" w:firstLineChars="200"/>
        <w:rPr>
          <w:rFonts w:hint="eastAsia" w:ascii="宋体" w:hAnsi="宋体"/>
          <w:szCs w:val="32"/>
        </w:rPr>
      </w:pPr>
      <w:r>
        <w:rPr>
          <w:rFonts w:hint="eastAsia" w:ascii="宋体" w:hAnsi="宋体"/>
        </w:rPr>
        <w:t>2、</w:t>
      </w:r>
      <w:r>
        <w:rPr>
          <w:rFonts w:hint="eastAsia" w:ascii="宋体" w:hAnsi="宋体"/>
          <w:lang w:eastAsia="zh-CN"/>
        </w:rPr>
        <w:t>提交</w:t>
      </w:r>
      <w:r>
        <w:rPr>
          <w:rFonts w:hint="eastAsia" w:ascii="宋体" w:hAnsi="宋体"/>
          <w:szCs w:val="32"/>
        </w:rPr>
        <w:t>竞买申请及</w:t>
      </w:r>
      <w:r>
        <w:rPr>
          <w:rFonts w:hint="eastAsia" w:ascii="宋体" w:hAnsi="宋体"/>
          <w:szCs w:val="32"/>
          <w:lang w:eastAsia="zh-CN"/>
        </w:rPr>
        <w:t>保证金缴纳时间为</w:t>
      </w:r>
      <w:r>
        <w:rPr>
          <w:rFonts w:hint="eastAsia" w:ascii="宋体" w:hAnsi="宋体"/>
          <w:szCs w:val="32"/>
          <w:lang w:val="en-US" w:eastAsia="zh-CN"/>
        </w:rPr>
        <w:t>2022年11月22日起至11月29日上午8时50分整截止，</w:t>
      </w:r>
      <w:r>
        <w:rPr>
          <w:rFonts w:hint="eastAsia" w:ascii="宋体" w:hAnsi="宋体"/>
          <w:szCs w:val="32"/>
        </w:rPr>
        <w:t>拍卖时间</w:t>
      </w:r>
      <w:r>
        <w:rPr>
          <w:rFonts w:hint="eastAsia" w:ascii="宋体" w:hAnsi="宋体"/>
          <w:szCs w:val="32"/>
          <w:lang w:eastAsia="zh-CN"/>
        </w:rPr>
        <w:t>为</w:t>
      </w:r>
      <w:r>
        <w:rPr>
          <w:rFonts w:hint="eastAsia" w:ascii="宋体" w:hAnsi="宋体"/>
          <w:szCs w:val="32"/>
          <w:lang w:val="en-US" w:eastAsia="zh-CN"/>
        </w:rPr>
        <w:t>2022年11月29</w:t>
      </w:r>
      <w:bookmarkStart w:id="0" w:name="_GoBack"/>
      <w:bookmarkEnd w:id="0"/>
      <w:r>
        <w:rPr>
          <w:rFonts w:hint="eastAsia" w:ascii="宋体" w:hAnsi="宋体"/>
          <w:szCs w:val="32"/>
          <w:lang w:val="en-US" w:eastAsia="zh-CN"/>
        </w:rPr>
        <w:t>日上午9时</w:t>
      </w:r>
      <w:r>
        <w:rPr>
          <w:rFonts w:hint="eastAsia" w:ascii="宋体" w:hAnsi="宋体"/>
          <w:szCs w:val="32"/>
        </w:rPr>
        <w:t>。</w:t>
      </w:r>
    </w:p>
    <w:p>
      <w:pPr>
        <w:widowControl w:val="0"/>
        <w:spacing w:line="560" w:lineRule="exact"/>
        <w:ind w:firstLine="640" w:firstLineChars="200"/>
        <w:rPr>
          <w:rFonts w:hint="eastAsia" w:ascii="宋体" w:hAnsi="宋体"/>
          <w:szCs w:val="32"/>
        </w:rPr>
      </w:pPr>
      <w:r>
        <w:rPr>
          <w:rFonts w:hint="eastAsia" w:ascii="宋体" w:hAnsi="宋体"/>
          <w:szCs w:val="32"/>
        </w:rPr>
        <w:t>3、具体内容见网站发布拍卖出让文件，公告内容若与出让文件内容不一致的，以出让方案为准。</w:t>
      </w:r>
    </w:p>
    <w:p>
      <w:pPr>
        <w:widowControl w:val="0"/>
        <w:spacing w:line="560" w:lineRule="exact"/>
        <w:ind w:firstLine="640" w:firstLineChars="200"/>
        <w:rPr>
          <w:rFonts w:hint="eastAsia" w:ascii="宋体" w:hAnsi="宋体"/>
        </w:rPr>
      </w:pPr>
      <w:r>
        <w:rPr>
          <w:rFonts w:hint="eastAsia" w:ascii="宋体" w:hAnsi="宋体"/>
        </w:rPr>
        <w:t>网址：中国土地市场网（www.landchina.com），仙游县行政服务中心网（http://www.xianyou.gov.cn/ztbzx），</w:t>
      </w:r>
      <w:r>
        <w:rPr>
          <w:rFonts w:hint="eastAsia" w:ascii="宋体" w:hAnsi="宋体"/>
          <w:color w:val="000000"/>
        </w:rPr>
        <w:t>福建省土地使用权出让管理系统（网上交易模块）运行网站（由福建省自然资源厅官网登入转跳）</w:t>
      </w:r>
      <w:r>
        <w:rPr>
          <w:rFonts w:hint="eastAsia" w:ascii="宋体" w:hAnsi="宋体"/>
        </w:rPr>
        <w:t>。</w:t>
      </w:r>
    </w:p>
    <w:p>
      <w:pPr>
        <w:widowControl w:val="0"/>
        <w:spacing w:line="560" w:lineRule="exact"/>
        <w:ind w:firstLine="640" w:firstLineChars="200"/>
        <w:rPr>
          <w:rFonts w:hint="eastAsia" w:ascii="宋体" w:hAnsi="宋体"/>
        </w:rPr>
      </w:pPr>
      <w:r>
        <w:rPr>
          <w:rFonts w:hint="eastAsia" w:ascii="宋体" w:hAnsi="宋体" w:eastAsia="黑体"/>
        </w:rPr>
        <w:t>十、本拍卖出让方案由仙游县自然资源局负责解释。</w:t>
      </w:r>
    </w:p>
    <w:p>
      <w:pPr>
        <w:widowControl w:val="0"/>
        <w:spacing w:line="560" w:lineRule="exact"/>
        <w:ind w:firstLine="640" w:firstLineChars="200"/>
        <w:rPr>
          <w:rFonts w:hint="default" w:ascii="宋体" w:hAnsi="宋体" w:eastAsia="仿宋_GB2312"/>
          <w:lang w:val="en-US" w:eastAsia="zh-CN"/>
        </w:rPr>
      </w:pPr>
      <w:r>
        <w:rPr>
          <w:rFonts w:hint="eastAsia" w:ascii="宋体" w:hAnsi="宋体"/>
        </w:rPr>
        <w:t>联系人：</w:t>
      </w:r>
      <w:r>
        <w:rPr>
          <w:rFonts w:hint="eastAsia" w:ascii="宋体" w:hAnsi="宋体"/>
          <w:lang w:eastAsia="zh-CN"/>
        </w:rPr>
        <w:t>蔡</w:t>
      </w:r>
      <w:r>
        <w:rPr>
          <w:rFonts w:hint="eastAsia" w:ascii="宋体" w:hAnsi="宋体"/>
        </w:rPr>
        <w:t>先生       联系电话：</w:t>
      </w:r>
      <w:r>
        <w:rPr>
          <w:rFonts w:hint="eastAsia" w:ascii="宋体" w:hAnsi="宋体"/>
          <w:lang w:val="en-US" w:eastAsia="zh-CN"/>
        </w:rPr>
        <w:t>8291827</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zNTU0MTBhN2VlYjljNDYwZjkyNDZlNWYxN2JlM2UifQ=="/>
  </w:docVars>
  <w:rsids>
    <w:rsidRoot w:val="4AC67A4E"/>
    <w:rsid w:val="40CD2A95"/>
    <w:rsid w:val="4AC67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仿宋_GB2312"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semiHidden/>
    <w:qFormat/>
    <w:uiPriority w:val="0"/>
    <w:rPr>
      <w:rFonts w:ascii="仿宋_GB2312"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3480</Words>
  <Characters>3772</Characters>
  <Lines>0</Lines>
  <Paragraphs>0</Paragraphs>
  <TotalTime>2</TotalTime>
  <ScaleCrop>false</ScaleCrop>
  <LinksUpToDate>false</LinksUpToDate>
  <CharactersWithSpaces>3797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2022-09-01T08:50:00Z</dcterms:created>
  <dc:creator>Administrator</dc:creator>
  <cp:lastModifiedBy>Administrator</cp:lastModifiedBy>
  <dcterms:modified xsi:type="dcterms:W3CDTF">2022-11-07T03:14:25Z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72864EAC0F9B49648F8FA964672A36FD</vt:lpwstr>
  </property>
</Properties>
</file>