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（货物类）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2025年基层应急能力提升工程为民办实事项目(基层预警指挥服务站系统建设部分)</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CGXM-2025-350322-00594[2025]00422</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[350322]DZZX[CS]2025001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仙游县应急管理局</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大洲设计咨询集团有限公司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2025年07月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仙游县应急管理局</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2025年基层应急能力提升工程为民办实事项目(基层预警指挥服务站系统建设部分)</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大洲设计咨询集团有限公司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2025年基层应急能力提升工程为民办实事项目(基层预警指挥服务站系统建设部分)</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CGXM-2025-350322-00594[2025]00422</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[350322]DZZX[CS]2025001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780,000.00</w:t>
      </w:r>
    </w:p>
    <w:p>
      <w:pPr>
        <w:pStyle w:val="null3"/>
        <w:jc w:val="left"/>
      </w:pPr>
      <w:r>
        <w:rPr>
          <w:rFonts w:ascii="仿宋_GB2312" w:hAnsi="仿宋_GB2312" w:cs="仿宋_GB2312" w:eastAsia="仿宋_GB2312"/>
        </w:rPr>
        <w:t>采购包最高限价（元）: 780,000.00</w:t>
      </w:r>
    </w:p>
    <w:p>
      <w:pPr>
        <w:pStyle w:val="null3"/>
        <w:jc w:val="left"/>
      </w:pPr>
      <w:r>
        <w:rPr>
          <w:rFonts w:ascii="仿宋_GB2312" w:hAnsi="仿宋_GB2312" w:cs="仿宋_GB2312" w:eastAsia="仿宋_GB2312"/>
        </w:rPr>
        <w:t>采购包保证金金额（元）: 7,800.00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2025年基层应急能力提升工程为民办实事项目(基层预警指挥服务站系统建设部分)</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780,000.00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2025年基层应急能力提升工程为民办实事项目(基层预警指挥服务站系统建设部分)</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780,000.00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2025年基层应急能力提升工程为民办实事项目(基层预警指挥服务站系统建设部分)</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基层视频会议终端及配套设备（一体机）</w:t>
            </w:r>
          </w:p>
        </w:tc>
        <w:tc>
          <w:tcPr>
            <w:tcW w:type="dxa" w:w="2076"/>
          </w:tcPr>
          <w:p>
            <w:pPr>
              <w:pStyle w:val="null3"/>
              <w:jc w:val="left"/>
            </w:pPr>
            <w:r>
              <w:rPr>
                <w:rFonts w:ascii="仿宋_GB2312" w:hAnsi="仿宋_GB2312" w:cs="仿宋_GB2312" w:eastAsia="仿宋_GB2312"/>
              </w:rPr>
              <w:t>基层视频会议终端及配套设备（一体机）</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747,240.00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政务外网链路</w:t>
            </w:r>
          </w:p>
        </w:tc>
        <w:tc>
          <w:tcPr>
            <w:tcW w:type="dxa" w:w="2076"/>
          </w:tcPr>
          <w:p>
            <w:pPr>
              <w:pStyle w:val="null3"/>
              <w:jc w:val="left"/>
            </w:pPr>
            <w:r>
              <w:rPr>
                <w:rFonts w:ascii="仿宋_GB2312" w:hAnsi="仿宋_GB2312" w:cs="仿宋_GB2312" w:eastAsia="仿宋_GB2312"/>
              </w:rPr>
              <w:t>政务外网链路</w:t>
            </w:r>
          </w:p>
        </w:tc>
        <w:tc>
          <w:tcPr>
            <w:tcW w:type="dxa" w:w="415"/>
          </w:tcPr>
          <w:p>
            <w:pPr>
              <w:pStyle w:val="null3"/>
              <w:jc w:val="left"/>
            </w:pPr>
            <w:r>
              <w:rPr>
                <w:rFonts w:ascii="仿宋_GB2312" w:hAnsi="仿宋_GB2312" w:cs="仿宋_GB2312" w:eastAsia="仿宋_GB2312"/>
              </w:rPr>
              <w:t>条</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32,760.00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适用于本项目，按《财政部发展改革委生态环境部市场监管总局关于调整优化节能产品、环境标志产品政府采购执行机制的通知》（财库〔2019〕9号）以及《关于印发节能产品政府采购品目清单的通知》(财库〔2019〕19号)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适用于本项目，按《财政部发展改革委生态环境部市场监管总局关于调整优化节能产品、环境标志产品政府采购执行机制的通知》（财库〔2019〕9号）以及《关于印发环境标志产品政府采购品目清单的通知》(财库〔2019〕18号)执行。</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仙游县应急管理局</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仙游县鲤城街道清源东路1号县政府</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洪先生</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17606064817</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大洲设计咨询集团有限公司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城南新区黄海街道青年中路51号钱江财富广场2幢2-901室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224000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小杨</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15205903059</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大洲设计咨询集团有限公司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代理服务费收费标准：①以成交金额作为收费的计算基数，按差额定率累进法计算。 ②收费费率标准：成交金额在100万元以下的部分，收费费率标准1.5%；成交金额在100-500万元的部分，收费费率标准1.1%。③按照福建省财政厅关于规范福建省政府采购评审专家劳务报酬标准的通知，评审专家劳务报酬由采购人支付。</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①、解释权：采购代理机构拥有本项目竞争性磋商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成交人后，如发现供应商所提供的资格类文件不合法或不真实，仍可废除成交人中标资格并追究成交人的法律责任。④、质疑受理的其它要求： a、质疑人递交质疑函时还应出具质疑人已在福建省政府采购网上公开信息系统上已对本项目进行报名的证明文件（体现报名时间），否则将不被认定为潜在供应商，其质疑将不予受理。【磋商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供应商对本项目磋商文件有任何疑议或不认同之处，需在法定时间内按规定提出质疑，否则视为供应商接受磋商文件的规定。</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自成交通知书发出之日起30个日历日内。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1.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2.【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【f.唱标结束后，投标人可对开标结果进行签章，并在远程签章开放后10分钟内完成，逾期未签章的视同认可开标结果。】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满分为30.0000分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 xml:space="preserve"> 项目</w:t>
            </w:r>
          </w:p>
        </w:tc>
        <w:tc>
          <w:tcPr>
            <w:tcW w:type="dxa" w:w="1661"/>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比例</w:t>
            </w:r>
          </w:p>
        </w:tc>
        <w:tc>
          <w:tcPr>
            <w:tcW w:type="dxa" w:w="4153"/>
          </w:tcPr>
          <w:p>
            <w:pPr>
              <w:pStyle w:val="null3"/>
              <w:jc w:val="left"/>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left"/>
            </w:pPr>
            <w:r>
              <w:rPr>
                <w:rFonts w:ascii="仿宋_GB2312" w:hAnsi="仿宋_GB2312" w:cs="仿宋_GB2312" w:eastAsia="仿宋_GB2312"/>
              </w:rPr>
              <w:t xml:space="preserve"> 项目</w:t>
            </w:r>
          </w:p>
        </w:tc>
        <w:tc>
          <w:tcPr>
            <w:tcW w:type="dxa" w:w="1038"/>
          </w:tcPr>
          <w:p>
            <w:pPr>
              <w:pStyle w:val="null3"/>
              <w:jc w:val="left"/>
            </w:pPr>
            <w:r>
              <w:rPr>
                <w:rFonts w:ascii="仿宋_GB2312" w:hAnsi="仿宋_GB2312" w:cs="仿宋_GB2312" w:eastAsia="仿宋_GB2312"/>
              </w:rPr>
              <w:t xml:space="preserve"> 比例</w:t>
            </w:r>
          </w:p>
        </w:tc>
        <w:tc>
          <w:tcPr>
            <w:tcW w:type="dxa" w:w="5191"/>
          </w:tcPr>
          <w:p>
            <w:pPr>
              <w:pStyle w:val="null3"/>
              <w:jc w:val="left"/>
            </w:pPr>
            <w:r>
              <w:rPr>
                <w:rFonts w:ascii="仿宋_GB2312" w:hAnsi="仿宋_GB2312" w:cs="仿宋_GB2312" w:eastAsia="仿宋_GB2312"/>
              </w:rPr>
              <w:t xml:space="preserve"> 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满分为55.0000分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1.技术和服务要求响应情况1</w:t>
            </w:r>
          </w:p>
        </w:tc>
        <w:tc>
          <w:tcPr>
            <w:tcW w:type="dxa" w:w="831"/>
          </w:tcPr>
          <w:p>
            <w:pPr>
              <w:pStyle w:val="null3"/>
              <w:jc w:val="right"/>
            </w:pPr>
            <w:r>
              <w:rPr>
                <w:rFonts w:ascii="仿宋_GB2312" w:hAnsi="仿宋_GB2312" w:cs="仿宋_GB2312" w:eastAsia="仿宋_GB2312"/>
              </w:rPr>
              <w:t>6.00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根据供应商对磋商文件第三章采购内容及要求“二、技术要求”的逐项响应进行评审，其中带“★”为不允许负偏离的实质性要求（共1项），带“▲”号技术参数（共2项），每一项满足得3分,共6分。 【注：磋商文件中技术指标若有要求供应商提供相应佐证材料的，供应商未提供相应佐证材料或者供应商的响应承诺与其佐证材料不一致的，评标委员会将以不利于供应商的内容为准进行评审（负偏离）】</w:t>
            </w:r>
          </w:p>
        </w:tc>
      </w:tr>
      <w:tr>
        <w:tc>
          <w:tcPr>
            <w:tcW w:type="dxa" w:w="3322"/>
          </w:tcPr>
          <w:p>
            <w:pPr>
              <w:pStyle w:val="null3"/>
              <w:jc w:val="left"/>
            </w:pPr>
            <w:r>
              <w:rPr>
                <w:rFonts w:ascii="仿宋_GB2312" w:hAnsi="仿宋_GB2312" w:cs="仿宋_GB2312" w:eastAsia="仿宋_GB2312"/>
              </w:rPr>
              <w:t>2.技术和服务要求响应情况2</w:t>
            </w:r>
          </w:p>
        </w:tc>
        <w:tc>
          <w:tcPr>
            <w:tcW w:type="dxa" w:w="831"/>
          </w:tcPr>
          <w:p>
            <w:pPr>
              <w:pStyle w:val="null3"/>
              <w:jc w:val="right"/>
            </w:pPr>
            <w:r>
              <w:rPr>
                <w:rFonts w:ascii="仿宋_GB2312" w:hAnsi="仿宋_GB2312" w:cs="仿宋_GB2312" w:eastAsia="仿宋_GB2312"/>
              </w:rPr>
              <w:t>34.58</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根据供应商对磋商文件第三章采购内容及要求“二、技术要求”的逐项响应进行评审，其他未带有“★、▲”技术参数（共13项），每一项满足得2.66分，共34.58分。 【注：磋商文件中技术指标若有要求供应商提供相应佐证材料的，供应商未提供相应佐证材料或者供应商的响应承诺与其佐证材料不一致的，评标委员会将以不利于供应商的内容为准进行评审（负偏离）】</w:t>
            </w:r>
          </w:p>
        </w:tc>
      </w:tr>
      <w:tr>
        <w:tc>
          <w:tcPr>
            <w:tcW w:type="dxa" w:w="3322"/>
          </w:tcPr>
          <w:p>
            <w:pPr>
              <w:pStyle w:val="null3"/>
              <w:jc w:val="left"/>
            </w:pPr>
            <w:r>
              <w:rPr>
                <w:rFonts w:ascii="仿宋_GB2312" w:hAnsi="仿宋_GB2312" w:cs="仿宋_GB2312" w:eastAsia="仿宋_GB2312"/>
              </w:rPr>
              <w:t>3.所投一体机1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为保证基层预警指挥服务站高效、安全稳定运行，所投一体机支持将单个应用的界面分为双窗口左右分屏显示得3分。（供应商须提供带CMA或CNAS标识的第三方检测报告复印件作为佐证材料并盖供应商公章）</w:t>
            </w:r>
          </w:p>
        </w:tc>
      </w:tr>
      <w:tr>
        <w:tc>
          <w:tcPr>
            <w:tcW w:type="dxa" w:w="3322"/>
          </w:tcPr>
          <w:p>
            <w:pPr>
              <w:pStyle w:val="null3"/>
              <w:jc w:val="left"/>
            </w:pPr>
            <w:r>
              <w:rPr>
                <w:rFonts w:ascii="仿宋_GB2312" w:hAnsi="仿宋_GB2312" w:cs="仿宋_GB2312" w:eastAsia="仿宋_GB2312"/>
              </w:rPr>
              <w:t>4.所投一体机2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基层预警指挥服务站高效、安全稳定运行，所投一体机支持智能音幕，可选择设备麦克风的拾音区域，不对选定区域外进行拾音，屏蔽周围杂音的影响得3分。（供应商须提供带CMA或CNAS标识的第三方检测报告复印件作为佐证材料并盖供应商公章）</w:t>
            </w:r>
          </w:p>
        </w:tc>
      </w:tr>
      <w:tr>
        <w:tc>
          <w:tcPr>
            <w:tcW w:type="dxa" w:w="3322"/>
          </w:tcPr>
          <w:p>
            <w:pPr>
              <w:pStyle w:val="null3"/>
              <w:jc w:val="left"/>
            </w:pPr>
            <w:r>
              <w:rPr>
                <w:rFonts w:ascii="仿宋_GB2312" w:hAnsi="仿宋_GB2312" w:cs="仿宋_GB2312" w:eastAsia="仿宋_GB2312"/>
              </w:rPr>
              <w:t>5.所投一体机3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基层预警指挥服务站高效、安全稳定运行，所投一体机支持手机、Pad、PC客户端反向投屏，客户端可同步显示终端屏幕画面，支持多个客户端同时批注书写，同时连接≥40个客户端得3分。（供应商须提供带CMA或CNAS标识的第三方检测报告复印件作为佐证材料并盖供应商公章）</w:t>
            </w:r>
          </w:p>
        </w:tc>
      </w:tr>
      <w:tr>
        <w:tc>
          <w:tcPr>
            <w:tcW w:type="dxa" w:w="3322"/>
          </w:tcPr>
          <w:p>
            <w:pPr>
              <w:pStyle w:val="null3"/>
              <w:jc w:val="left"/>
            </w:pPr>
            <w:r>
              <w:rPr>
                <w:rFonts w:ascii="仿宋_GB2312" w:hAnsi="仿宋_GB2312" w:cs="仿宋_GB2312" w:eastAsia="仿宋_GB2312"/>
              </w:rPr>
              <w:t>6.所投一体机4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基层预警指挥服务站高效、安全稳定运行，所投一体机和分体式终端支持将数字水印嵌入到会议音频流中，不影响声音收听效果；支持反向提取泄露音频的数字水印，实现数据泄露溯源得3分。（供应商须提供带CMA或CNAS标识的第三方检测报告复印件作为佐证材料并盖供应商公章）</w:t>
            </w:r>
          </w:p>
        </w:tc>
      </w:tr>
      <w:tr>
        <w:tc>
          <w:tcPr>
            <w:tcW w:type="dxa" w:w="3322"/>
          </w:tcPr>
          <w:p>
            <w:pPr>
              <w:pStyle w:val="null3"/>
              <w:jc w:val="left"/>
            </w:pPr>
            <w:r>
              <w:rPr>
                <w:rFonts w:ascii="仿宋_GB2312" w:hAnsi="仿宋_GB2312" w:cs="仿宋_GB2312" w:eastAsia="仿宋_GB2312"/>
              </w:rPr>
              <w:t>7.实施方案及质量保障措施</w:t>
            </w:r>
          </w:p>
        </w:tc>
        <w:tc>
          <w:tcPr>
            <w:tcW w:type="dxa" w:w="831"/>
          </w:tcPr>
          <w:p>
            <w:pPr>
              <w:pStyle w:val="null3"/>
              <w:jc w:val="right"/>
            </w:pPr>
            <w:r>
              <w:rPr>
                <w:rFonts w:ascii="仿宋_GB2312" w:hAnsi="仿宋_GB2312" w:cs="仿宋_GB2312" w:eastAsia="仿宋_GB2312"/>
              </w:rPr>
              <w:t>2.42</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提供的实施方案及质量保障措施（包括实施措施、实施环境的具体分析、质量保障、合理的人员配备等内容）进行评分：方案包含的要点齐全无缺漏项、内容与要点相符、每个要点均有展开详细的阐述且能够适用于本项目得2.42分；方案所包含的要点齐全、内容与要点相符、每个要点均有展开阐述（没有特别具体）但基本能够适用于本项目的得2.0分；方案所包含的要点有缺漏、内容与要点相符但仅有纲要、内容简略，未展开详细阐述但基本能够适用于本项目的得1.42分；未提供或内容存在明显错误、内容明显不适用于本项目需求的均不得分。</w:t>
            </w:r>
          </w:p>
        </w:tc>
      </w:tr>
    </w:tbl>
    <w:p>
      <w:pPr>
        <w:pStyle w:val="null3"/>
        <w:jc w:val="left"/>
      </w:pPr>
      <w:r>
        <w:rPr>
          <w:rFonts w:ascii="仿宋_GB2312" w:hAnsi="仿宋_GB2312" w:cs="仿宋_GB2312" w:eastAsia="仿宋_GB2312"/>
        </w:rPr>
        <w:t>商务部分评分PB 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1.体系认证</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本项目交付质量与服务过程的社会责任履行，供应商具备质量管理体系认证(ISO9001)、企业社会责任管理体系认证（GB/T39604-2020）认证，满足1项的得1分，满分2分。供应商须提供有效的认证证书复印件，并附证书在中国国家认证认可监督管理委员会(http://www.cnca.gov.cn)等官方认证机构网站公开的链接网页信息并注明网址（如公开链接信息无法查询或与认证证书与公开信息不一致的，投标人必须提供认证机构出具的证明函，否则不得分），未提供或提供材料不完整不得分。</w:t>
            </w:r>
          </w:p>
        </w:tc>
      </w:tr>
      <w:tr>
        <w:tc>
          <w:tcPr>
            <w:tcW w:type="dxa" w:w="3322"/>
          </w:tcPr>
          <w:p>
            <w:pPr>
              <w:pStyle w:val="null3"/>
              <w:jc w:val="left"/>
            </w:pPr>
            <w:r>
              <w:rPr>
                <w:rFonts w:ascii="仿宋_GB2312" w:hAnsi="仿宋_GB2312" w:cs="仿宋_GB2312" w:eastAsia="仿宋_GB2312"/>
              </w:rPr>
              <w:t>2.项目经理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派本项目的项目经理具有:（1）IT服务项目经理证书；（2）网络工程师证书；（3）信息安全高级工程师证书，满足1项的得1分，满分3分。供应商需提供资质证书复印件和投标截止时间前六个月（不含投标截止时间的当月）中任一月份供应商为证书对应人员缴纳的社保证明材料并加盖供应商公章，未提供或提供不完整的不得分。注：以上人员不与商务项第3点人员重复计分。</w:t>
            </w:r>
          </w:p>
        </w:tc>
      </w:tr>
      <w:tr>
        <w:tc>
          <w:tcPr>
            <w:tcW w:type="dxa" w:w="3322"/>
          </w:tcPr>
          <w:p>
            <w:pPr>
              <w:pStyle w:val="null3"/>
              <w:jc w:val="left"/>
            </w:pPr>
            <w:r>
              <w:rPr>
                <w:rFonts w:ascii="仿宋_GB2312" w:hAnsi="仿宋_GB2312" w:cs="仿宋_GB2312" w:eastAsia="仿宋_GB2312"/>
              </w:rPr>
              <w:t>3.团队成员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为本项目配备的团队成员具有：（1）信息系统项目管理师证书；（2）中级通信工程师证书（3）CISAW信息安全保障人员认证证书（4）IT运维工程师（高级）（5）网络视频监控维护工程师。提供一个证书得0.6分，未提供不得分。供应商需同时提供资质证书复印件和投标截止时间前六个月（不含投标截止时间的当月）中任一月份供应商为证书对应人员缴纳的社保证明材料并加盖供应商公章，满分3分，未提供或提供不完整的不得分。注：以上证书不与商务项第2点人员重复计分。</w:t>
            </w:r>
          </w:p>
        </w:tc>
      </w:tr>
      <w:tr>
        <w:tc>
          <w:tcPr>
            <w:tcW w:type="dxa" w:w="3322"/>
          </w:tcPr>
          <w:p>
            <w:pPr>
              <w:pStyle w:val="null3"/>
              <w:jc w:val="left"/>
            </w:pPr>
            <w:r>
              <w:rPr>
                <w:rFonts w:ascii="仿宋_GB2312" w:hAnsi="仿宋_GB2312" w:cs="仿宋_GB2312" w:eastAsia="仿宋_GB2312"/>
              </w:rPr>
              <w:t>4.培训服务方案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制定的培训方案（方案要点内容包括但不限于：1、培训时间与计划，2、培训内容，3、人员配备，4、培训频次），由磋商小组进行评议并评分：①培训方案包含的要点齐全无缺漏项、内容与要点相符、每个要点均有展开详细的阐述且能够适用于本项目得3分；②培训方案所包含的要点齐全、内容与要点相符、每个要点均有展开阐述（没有特别具体）但基本能够适用于本项目的得2.5分；③培训方案所包含的要点有缺漏或内容与要点相符但仅有纲要、内容简略，未展开详细阐述但基本能够适用于本项目的得2.0分； 未提供培训方案或内容存在明显错误、内容明显不适用于本项目需求的均不得分。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5.维修承诺</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接到硬件故障通知能够安排人员到达现场进行维修承诺进行评分，承诺时间≤3小时内到达现场的得1分，3小时＜承诺时间≤4小时内到现场的得0.5分，承诺时间＞4小时不得分。响应人须提供承诺函加盖响应人公章，未提供承诺函的不得分。（格式自拟）（满分1分）</w:t>
            </w:r>
          </w:p>
        </w:tc>
      </w:tr>
      <w:tr>
        <w:tc>
          <w:tcPr>
            <w:tcW w:type="dxa" w:w="3322"/>
          </w:tcPr>
          <w:p>
            <w:pPr>
              <w:pStyle w:val="null3"/>
              <w:jc w:val="left"/>
            </w:pPr>
            <w:r>
              <w:rPr>
                <w:rFonts w:ascii="仿宋_GB2312" w:hAnsi="仿宋_GB2312" w:cs="仿宋_GB2312" w:eastAsia="仿宋_GB2312"/>
              </w:rPr>
              <w:t>6.售后抢修车辆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为本项目提供售后保障，具备抢修维护出行所需车辆的情况进行评分：供应商提供一辆抢修车辆供本项目使用得1分，在以上基础上每增加一辆得1分，本项满分3分。(供应商须提供本公司权属的车辆行驶证复印件加盖供应商公章，未按要求提供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供应商技术部分的实际得分少于磋商文件设定的技术部分总分的50%的，按无效响应处理。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供应商响应文件技术部分实质性要求内容出现负偏离的，视为无效响应。</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供应商响应文件技术部分中提供虚假或失实证明材料的，视为无效响应。</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供应商的商务条件响应表中对磋商文件规定的商务条件出现负偏离的，按无效响应处理。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供应商响应文件商务部分中提供虚假或失实证明材料的，视为无效响应。</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报价超过了磋商文件规定的预算金额或最高限价的。</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 评审委员会启动异常低价投标（响应）审查后，应当要求相关供应商在评审现场合理的时间内（30分钟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本项目为</w:t>
      </w:r>
      <w:r>
        <w:rPr>
          <w:rFonts w:ascii="仿宋_GB2312" w:hAnsi="仿宋_GB2312" w:cs="仿宋_GB2312" w:eastAsia="仿宋_GB2312"/>
          <w:sz w:val="24"/>
        </w:rPr>
        <w:t>2025年基层应急能力提升工程为民办实事项目(基层预警</w:t>
      </w:r>
      <w:r>
        <w:rPr>
          <w:rFonts w:ascii="仿宋_GB2312" w:hAnsi="仿宋_GB2312" w:cs="仿宋_GB2312" w:eastAsia="仿宋_GB2312"/>
          <w:sz w:val="24"/>
        </w:rPr>
        <w:t>指挥服务站系统建设部分），在福建省自然灾害应急能力提升工程预警指挥项目中已完成乡镇街道视频会商系统建设的基础上，持续实施完成剩余</w:t>
      </w:r>
      <w:r>
        <w:rPr>
          <w:rFonts w:ascii="仿宋_GB2312" w:hAnsi="仿宋_GB2312" w:cs="仿宋_GB2312" w:eastAsia="仿宋_GB2312"/>
          <w:sz w:val="24"/>
        </w:rPr>
        <w:t>13</w:t>
      </w:r>
      <w:r>
        <w:rPr>
          <w:rFonts w:ascii="仿宋_GB2312" w:hAnsi="仿宋_GB2312" w:cs="仿宋_GB2312" w:eastAsia="仿宋_GB2312"/>
          <w:sz w:val="24"/>
        </w:rPr>
        <w:t>个乡镇街道系统建设，为相关乡镇配备</w:t>
      </w:r>
      <w:r>
        <w:rPr>
          <w:rFonts w:ascii="仿宋_GB2312" w:hAnsi="仿宋_GB2312" w:cs="仿宋_GB2312" w:eastAsia="仿宋_GB2312"/>
          <w:sz w:val="24"/>
        </w:rPr>
        <w:t>1套视频会议终端（一体机）。各乡镇视频会议终端（一体机）通过政务外网链路兼容接入市级视频会议系统后具备技术及服务要求中设备参数要求的能力，并通过与省级级联实现省、市、县、乡视频会议系统贯通联动。</w:t>
      </w:r>
    </w:p>
    <w:p>
      <w:pPr>
        <w:pStyle w:val="null3"/>
        <w:ind w:firstLine="480"/>
        <w:jc w:val="both"/>
      </w:pPr>
      <w:r>
        <w:rPr>
          <w:rFonts w:ascii="仿宋_GB2312" w:hAnsi="仿宋_GB2312" w:cs="仿宋_GB2312" w:eastAsia="仿宋_GB2312"/>
          <w:sz w:val="24"/>
        </w:rPr>
        <w:t>2、</w:t>
      </w:r>
      <w:r>
        <w:rPr>
          <w:rFonts w:ascii="仿宋_GB2312" w:hAnsi="仿宋_GB2312" w:cs="仿宋_GB2312" w:eastAsia="仿宋_GB2312"/>
          <w:sz w:val="24"/>
        </w:rPr>
        <w:t>供应商</w:t>
      </w:r>
      <w:r>
        <w:rPr>
          <w:rFonts w:ascii="仿宋_GB2312" w:hAnsi="仿宋_GB2312" w:cs="仿宋_GB2312" w:eastAsia="仿宋_GB2312"/>
          <w:sz w:val="24"/>
        </w:rPr>
        <w:t>提供的所有产品必须具有在中国境内的合法使用权和用户保护权且为全新未开启的原装产品，</w:t>
      </w:r>
      <w:r>
        <w:rPr>
          <w:rFonts w:ascii="仿宋_GB2312" w:hAnsi="仿宋_GB2312" w:cs="仿宋_GB2312" w:eastAsia="仿宋_GB2312"/>
          <w:sz w:val="24"/>
        </w:rPr>
        <w:t>供应商</w:t>
      </w:r>
      <w:r>
        <w:rPr>
          <w:rFonts w:ascii="仿宋_GB2312" w:hAnsi="仿宋_GB2312" w:cs="仿宋_GB2312" w:eastAsia="仿宋_GB2312"/>
          <w:sz w:val="24"/>
        </w:rPr>
        <w:t>所提供的服务应符合国家相关法律法规。</w:t>
      </w:r>
    </w:p>
    <w:p>
      <w:pPr>
        <w:pStyle w:val="null3"/>
        <w:jc w:val="left"/>
        <w:outlineLvl w:val="2"/>
      </w:pPr>
      <w:r>
        <w:rPr>
          <w:rFonts w:ascii="仿宋_GB2312" w:hAnsi="仿宋_GB2312" w:cs="仿宋_GB2312" w:eastAsia="仿宋_GB2312"/>
          <w:sz w:val="28"/>
          <w:b/>
        </w:rPr>
        <w:t>二、技术要求</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744"/>
        <w:gridCol w:w="1048"/>
        <w:gridCol w:w="4920"/>
        <w:gridCol w:w="744"/>
        <w:gridCol w:w="850"/>
      </w:tblGrid>
      <w:tr>
        <w:tc>
          <w:tcPr>
            <w:tcW w:type="dxa" w:w="74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0"/>
              </w:rPr>
              <w:t>品目号</w:t>
            </w:r>
          </w:p>
        </w:tc>
        <w:tc>
          <w:tcPr>
            <w:tcW w:type="dxa" w:w="1048"/>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0"/>
              </w:rPr>
              <w:t>标的名称</w:t>
            </w:r>
          </w:p>
        </w:tc>
        <w:tc>
          <w:tcPr>
            <w:tcW w:type="dxa" w:w="492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0"/>
              </w:rPr>
              <w:t>参数</w:t>
            </w:r>
          </w:p>
        </w:tc>
        <w:tc>
          <w:tcPr>
            <w:tcW w:type="dxa" w:w="74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0"/>
              </w:rPr>
              <w:t>数量</w:t>
            </w:r>
          </w:p>
        </w:tc>
        <w:tc>
          <w:tcPr>
            <w:tcW w:type="dxa" w:w="85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0"/>
              </w:rPr>
              <w:t>单位</w:t>
            </w:r>
          </w:p>
        </w:tc>
      </w:tr>
      <w:tr>
        <w:tc>
          <w:tcPr>
            <w:tcW w:type="dxa" w:w="74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1-1</w:t>
            </w:r>
          </w:p>
        </w:tc>
        <w:tc>
          <w:tcPr>
            <w:tcW w:type="dxa" w:w="10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基层视频会议终端及配套设备（一体机）</w:t>
            </w:r>
          </w:p>
          <w:p>
            <w:pPr>
              <w:pStyle w:val="null3"/>
              <w:jc w:val="both"/>
            </w:pPr>
            <w:r>
              <w:rPr>
                <w:rFonts w:ascii="仿宋_GB2312" w:hAnsi="仿宋_GB2312" w:cs="仿宋_GB2312" w:eastAsia="仿宋_GB2312"/>
                <w:sz w:val="20"/>
                <w:b/>
              </w:rPr>
              <w:t>（核心产品）</w:t>
            </w:r>
          </w:p>
        </w:tc>
        <w:tc>
          <w:tcPr>
            <w:tcW w:type="dxa" w:w="492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1.屏幕尺寸：≥86英寸。（评审项1）</w:t>
            </w:r>
          </w:p>
          <w:p>
            <w:pPr>
              <w:pStyle w:val="null3"/>
              <w:jc w:val="both"/>
            </w:pPr>
            <w:r>
              <w:rPr>
                <w:rFonts w:ascii="仿宋_GB2312" w:hAnsi="仿宋_GB2312" w:cs="仿宋_GB2312" w:eastAsia="仿宋_GB2312"/>
                <w:sz w:val="20"/>
              </w:rPr>
              <w:t>2.屏幕分辨率：≥4K触控屏。（评审项2）</w:t>
            </w:r>
          </w:p>
          <w:p>
            <w:pPr>
              <w:pStyle w:val="null3"/>
              <w:jc w:val="both"/>
            </w:pPr>
            <w:r>
              <w:rPr>
                <w:rFonts w:ascii="仿宋_GB2312" w:hAnsi="仿宋_GB2312" w:cs="仿宋_GB2312" w:eastAsia="仿宋_GB2312"/>
                <w:sz w:val="20"/>
              </w:rPr>
              <w:t>3.摄像机采集分辨率：≥4K30fps。（评审项3）</w:t>
            </w:r>
          </w:p>
          <w:p>
            <w:pPr>
              <w:pStyle w:val="null3"/>
              <w:jc w:val="both"/>
            </w:pPr>
            <w:r>
              <w:rPr>
                <w:rFonts w:ascii="仿宋_GB2312" w:hAnsi="仿宋_GB2312" w:cs="仿宋_GB2312" w:eastAsia="仿宋_GB2312"/>
                <w:sz w:val="20"/>
              </w:rPr>
              <w:t>4.摄像机变焦能力：≥2倍。（评审项4）</w:t>
            </w:r>
          </w:p>
          <w:p>
            <w:pPr>
              <w:pStyle w:val="null3"/>
              <w:jc w:val="both"/>
            </w:pPr>
            <w:r>
              <w:rPr>
                <w:rFonts w:ascii="仿宋_GB2312" w:hAnsi="仿宋_GB2312" w:cs="仿宋_GB2312" w:eastAsia="仿宋_GB2312"/>
                <w:sz w:val="20"/>
              </w:rPr>
              <w:t>5.麦克风拾音能力：内置多阵列麦克风，支持声源定位、发言人跟踪，拾音≥6米。（评审项5）</w:t>
            </w:r>
          </w:p>
          <w:p>
            <w:pPr>
              <w:pStyle w:val="null3"/>
              <w:jc w:val="both"/>
            </w:pPr>
            <w:r>
              <w:rPr>
                <w:rFonts w:ascii="仿宋_GB2312" w:hAnsi="仿宋_GB2312" w:cs="仿宋_GB2312" w:eastAsia="仿宋_GB2312"/>
                <w:sz w:val="20"/>
              </w:rPr>
              <w:t>6.通信协议：支持ITU-T H.323、IETF SIP通信标准，会议速率支持128Kbps-8Mbps。（评审项6）</w:t>
            </w:r>
          </w:p>
          <w:p>
            <w:pPr>
              <w:pStyle w:val="null3"/>
              <w:jc w:val="both"/>
            </w:pPr>
            <w:r>
              <w:rPr>
                <w:rFonts w:ascii="仿宋_GB2312" w:hAnsi="仿宋_GB2312" w:cs="仿宋_GB2312" w:eastAsia="仿宋_GB2312"/>
                <w:sz w:val="20"/>
              </w:rPr>
              <w:t>7.视频协议：支持H.264、H.264 High Profile、H.265视频协议。（评审项7）</w:t>
            </w:r>
          </w:p>
          <w:p>
            <w:pPr>
              <w:pStyle w:val="null3"/>
              <w:jc w:val="both"/>
            </w:pPr>
            <w:r>
              <w:rPr>
                <w:rFonts w:ascii="仿宋_GB2312" w:hAnsi="仿宋_GB2312" w:cs="仿宋_GB2312" w:eastAsia="仿宋_GB2312"/>
                <w:sz w:val="20"/>
              </w:rPr>
              <w:t>8.编解码能力：支持4K30fps、1080p60fps、1080p30fps、720p60fps、720p30fps高清分辨率编解码。（评审项8）</w:t>
            </w:r>
          </w:p>
          <w:p>
            <w:pPr>
              <w:pStyle w:val="null3"/>
              <w:jc w:val="both"/>
            </w:pPr>
            <w:r>
              <w:rPr>
                <w:rFonts w:ascii="仿宋_GB2312" w:hAnsi="仿宋_GB2312" w:cs="仿宋_GB2312" w:eastAsia="仿宋_GB2312"/>
                <w:sz w:val="20"/>
              </w:rPr>
              <w:t>9.视频接口要求：HDMI视频输入接口≥1路，HDMI视频输出接口≥1路，可发送/接收主辅流。（评审项9）</w:t>
            </w:r>
          </w:p>
          <w:p>
            <w:pPr>
              <w:pStyle w:val="null3"/>
              <w:jc w:val="both"/>
            </w:pPr>
            <w:r>
              <w:rPr>
                <w:rFonts w:ascii="仿宋_GB2312" w:hAnsi="仿宋_GB2312" w:cs="仿宋_GB2312" w:eastAsia="仿宋_GB2312"/>
                <w:sz w:val="20"/>
              </w:rPr>
              <w:t>10.音频接口要求：音频输出接口≥2 路，接口类型包括3.5mm、USB数字音频等音频接口。（评审项10）</w:t>
            </w:r>
          </w:p>
          <w:p>
            <w:pPr>
              <w:pStyle w:val="null3"/>
              <w:jc w:val="both"/>
            </w:pPr>
            <w:r>
              <w:rPr>
                <w:rFonts w:ascii="仿宋_GB2312" w:hAnsi="仿宋_GB2312" w:cs="仿宋_GB2312" w:eastAsia="仿宋_GB2312"/>
                <w:sz w:val="20"/>
              </w:rPr>
              <w:t>11.IP协议：IPv4和IPv6协议。（评审项11）</w:t>
            </w:r>
          </w:p>
          <w:p>
            <w:pPr>
              <w:pStyle w:val="null3"/>
              <w:jc w:val="both"/>
            </w:pPr>
            <w:r>
              <w:rPr>
                <w:rFonts w:ascii="仿宋_GB2312" w:hAnsi="仿宋_GB2312" w:cs="仿宋_GB2312" w:eastAsia="仿宋_GB2312"/>
                <w:sz w:val="20"/>
              </w:rPr>
              <w:t>12.产品形态要求：采用一体化设计，集成摄像机、硬件视频会议编解码器、触摸显示屏、麦克风、扬声器等部件，外部无任何可见内部功能模块及连接线，配套落地支架。（评审项12）</w:t>
            </w:r>
          </w:p>
          <w:p>
            <w:pPr>
              <w:pStyle w:val="null3"/>
              <w:jc w:val="both"/>
            </w:pPr>
            <w:r>
              <w:rPr>
                <w:rFonts w:ascii="仿宋_GB2312" w:hAnsi="仿宋_GB2312" w:cs="仿宋_GB2312" w:eastAsia="仿宋_GB2312"/>
                <w:sz w:val="20"/>
              </w:rPr>
              <w:t>▲</w:t>
            </w:r>
            <w:r>
              <w:rPr>
                <w:rFonts w:ascii="仿宋_GB2312" w:hAnsi="仿宋_GB2312" w:cs="仿宋_GB2312" w:eastAsia="仿宋_GB2312"/>
                <w:sz w:val="20"/>
              </w:rPr>
              <w:t>13.高清低带宽要求：支持在1M带宽实现4K30fps会议效果；在384Kbps带宽实现1080P30fps会议效果。（评审项13）</w:t>
            </w:r>
          </w:p>
          <w:p>
            <w:pPr>
              <w:pStyle w:val="null3"/>
              <w:jc w:val="both"/>
            </w:pPr>
            <w:r>
              <w:rPr>
                <w:rFonts w:ascii="仿宋_GB2312" w:hAnsi="仿宋_GB2312" w:cs="仿宋_GB2312" w:eastAsia="仿宋_GB2312"/>
                <w:sz w:val="20"/>
              </w:rPr>
              <w:t>▲</w:t>
            </w:r>
            <w:r>
              <w:rPr>
                <w:rFonts w:ascii="仿宋_GB2312" w:hAnsi="仿宋_GB2312" w:cs="仿宋_GB2312" w:eastAsia="仿宋_GB2312"/>
                <w:sz w:val="20"/>
              </w:rPr>
              <w:t>14.国密要求：支持国家密码局认定的国产密码算法，保证信息安全自主可控，支持SM2、SM3、SM4等国密加密算法。（评审项14）</w:t>
            </w:r>
          </w:p>
          <w:p>
            <w:pPr>
              <w:pStyle w:val="null3"/>
              <w:jc w:val="both"/>
            </w:pPr>
            <w:r>
              <w:rPr>
                <w:rFonts w:ascii="仿宋_GB2312" w:hAnsi="仿宋_GB2312" w:cs="仿宋_GB2312" w:eastAsia="仿宋_GB2312"/>
                <w:sz w:val="20"/>
              </w:rPr>
              <w:t>★15.支持无缝接入全省政务外网预警指挥系统视频会商系统，可接受平台的管理，实现如设备注册、告警上报、版本升级等功能。</w:t>
            </w:r>
            <w:r>
              <w:rPr>
                <w:rFonts w:ascii="仿宋_GB2312" w:hAnsi="仿宋_GB2312" w:cs="仿宋_GB2312" w:eastAsia="仿宋_GB2312"/>
                <w:sz w:val="20"/>
                <w:b/>
              </w:rPr>
              <w:t>（需提供书面承诺，并加盖供应商公章，格式自拟</w:t>
            </w:r>
            <w:r>
              <w:rPr>
                <w:rFonts w:ascii="仿宋_GB2312" w:hAnsi="仿宋_GB2312" w:cs="仿宋_GB2312" w:eastAsia="仿宋_GB2312"/>
                <w:sz w:val="20"/>
              </w:rPr>
              <w:t>）</w:t>
            </w:r>
          </w:p>
        </w:tc>
        <w:tc>
          <w:tcPr>
            <w:tcW w:type="dxa" w:w="7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13</w:t>
            </w:r>
          </w:p>
        </w:tc>
        <w:tc>
          <w:tcPr>
            <w:tcW w:type="dxa" w:w="85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套</w:t>
            </w:r>
          </w:p>
        </w:tc>
      </w:tr>
      <w:tr>
        <w:tc>
          <w:tcPr>
            <w:tcW w:type="dxa" w:w="74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1-2</w:t>
            </w:r>
          </w:p>
        </w:tc>
        <w:tc>
          <w:tcPr>
            <w:tcW w:type="dxa" w:w="10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政务外网链路</w:t>
            </w:r>
          </w:p>
        </w:tc>
        <w:tc>
          <w:tcPr>
            <w:tcW w:type="dxa" w:w="492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根据《国家电子政务外网标准</w:t>
            </w:r>
            <w:r>
              <w:rPr>
                <w:rFonts w:ascii="仿宋_GB2312" w:hAnsi="仿宋_GB2312" w:cs="仿宋_GB2312" w:eastAsia="仿宋_GB2312"/>
                <w:sz w:val="20"/>
              </w:rPr>
              <w:t>-接入政务外网的局域网安全技术规范》（GW0206-2014）等相关文件要求，在各级应急指挥部、乡镇视频会议系统部署场地接入电子政务外网，并确保带宽满足相关系统使用需求，其中乡镇视频会议系统带宽不小于 10Mbps，使用年限≥1 年，按需配套相关网络路由设备、网络安全设备等。（评审项15）</w:t>
            </w:r>
          </w:p>
          <w:p>
            <w:pPr>
              <w:pStyle w:val="null3"/>
              <w:jc w:val="both"/>
            </w:pPr>
          </w:p>
        </w:tc>
        <w:tc>
          <w:tcPr>
            <w:tcW w:type="dxa" w:w="7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13</w:t>
            </w:r>
          </w:p>
        </w:tc>
        <w:tc>
          <w:tcPr>
            <w:tcW w:type="dxa" w:w="85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0"/>
              </w:rPr>
              <w:t>条</w:t>
            </w:r>
          </w:p>
        </w:tc>
      </w:tr>
    </w:tbl>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自合同签订之日起30日内</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经采购人验收合格并交付使用。</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1、期次1，说明：1、验收时成交供应商代表必须在场，采购人将根据磋商文件要求、成交供应商所供货物的规格和产品标准及我国相关技术规范和技术标准进行验收。 2、结构、外观、制造、装配材料及工艺要求应符合采购要求及响应文件承诺，采购人在验收时如发现不符合采购要求的，采购人有权要求成交供应商进行换货或退货。 3、在采购人安装现场进行，最终检验所发生的一切费用由成交供应商承担。</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1、成交供应商完成全部项目内容且经验收合格后，采购人收到成交供应商提供等额税务发票后，达到付款条件起30日内，支付合同总金额的80.00%</w:t>
            </w:r>
          </w:p>
          <w:p>
            <w:pPr>
              <w:pStyle w:val="null3"/>
            </w:pPr>
            <w:r>
              <w:rPr>
                <w:rFonts w:ascii="仿宋_GB2312" w:hAnsi="仿宋_GB2312" w:cs="仿宋_GB2312" w:eastAsia="仿宋_GB2312"/>
              </w:rPr>
              <w:t>2、60天试运行无质量问题及运行故障，采购人收到成交供应商提供等额税务发票后，达到付款条件起30日内，支付合同总金额的20.00%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8、货物包装、运输要求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包装：货物交货时应按国家有关标准要求进行包装。本项目中如涉及商品包装和快递包装的，其包装需求标准应不低于《关于印发〈商品包装政府采购需求标准(试行)〉、〈快递包装政府采购需求标准(试行)〉的通知》（财办库〔2020〕123号）规定的包装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2）方式：包装必须与运输方式相适应，包装方式的确定及包装费用均由</w:t>
      </w:r>
      <w:r>
        <w:rPr>
          <w:rFonts w:ascii="仿宋_GB2312" w:hAnsi="仿宋_GB2312" w:cs="仿宋_GB2312" w:eastAsia="仿宋_GB2312"/>
          <w:sz w:val="24"/>
        </w:rPr>
        <w:t>成交人</w:t>
      </w:r>
      <w:r>
        <w:rPr>
          <w:rFonts w:ascii="仿宋_GB2312" w:hAnsi="仿宋_GB2312" w:cs="仿宋_GB2312" w:eastAsia="仿宋_GB2312"/>
          <w:sz w:val="24"/>
        </w:rPr>
        <w:t>负责；由于不适当的包装而造成货物在运输过程中有任何损坏由</w:t>
      </w:r>
      <w:r>
        <w:rPr>
          <w:rFonts w:ascii="仿宋_GB2312" w:hAnsi="仿宋_GB2312" w:cs="仿宋_GB2312" w:eastAsia="仿宋_GB2312"/>
          <w:sz w:val="24"/>
        </w:rPr>
        <w:t>成交人</w:t>
      </w:r>
      <w:r>
        <w:rPr>
          <w:rFonts w:ascii="仿宋_GB2312" w:hAnsi="仿宋_GB2312" w:cs="仿宋_GB2312" w:eastAsia="仿宋_GB2312"/>
          <w:sz w:val="24"/>
        </w:rPr>
        <w:t>负责。</w:t>
      </w:r>
    </w:p>
    <w:p>
      <w:pPr>
        <w:pStyle w:val="null3"/>
        <w:ind w:firstLine="480"/>
        <w:jc w:val="both"/>
      </w:pPr>
      <w:r>
        <w:rPr>
          <w:rFonts w:ascii="仿宋_GB2312" w:hAnsi="仿宋_GB2312" w:cs="仿宋_GB2312" w:eastAsia="仿宋_GB2312"/>
          <w:sz w:val="24"/>
        </w:rPr>
        <w:t>注：包装应足以承受整个过程中的运输、转运、装卸、储存等，充分考虑到运输途中的各种情况</w:t>
      </w:r>
      <w:r>
        <w:rPr>
          <w:rFonts w:ascii="仿宋_GB2312" w:hAnsi="仿宋_GB2312" w:cs="仿宋_GB2312" w:eastAsia="仿宋_GB2312"/>
          <w:sz w:val="24"/>
        </w:rPr>
        <w:t>(如暴露于恶劣气候等)和项目所在地的气候特点，以及露天存放的需要。</w:t>
      </w:r>
    </w:p>
    <w:p>
      <w:pPr>
        <w:pStyle w:val="null3"/>
        <w:ind w:firstLine="480"/>
        <w:jc w:val="left"/>
      </w:pPr>
      <w:r>
        <w:rPr>
          <w:rFonts w:ascii="仿宋_GB2312" w:hAnsi="仿宋_GB2312" w:cs="仿宋_GB2312" w:eastAsia="仿宋_GB2312"/>
          <w:sz w:val="24"/>
        </w:rPr>
        <w:t>9、货物安装及调试</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成交人</w:t>
      </w:r>
      <w:r>
        <w:rPr>
          <w:rFonts w:ascii="仿宋_GB2312" w:hAnsi="仿宋_GB2312" w:cs="仿宋_GB2312" w:eastAsia="仿宋_GB2312"/>
          <w:sz w:val="24"/>
        </w:rPr>
        <w:t>应负责按所签订合同的具体要求、具体数量、具体地点将货物运送到采购人指定地点并负责安装，安装并经最终验收合格后，交付采购人使用。安装、调试所需工具、仪表及安装材料等均由</w:t>
      </w:r>
      <w:r>
        <w:rPr>
          <w:rFonts w:ascii="仿宋_GB2312" w:hAnsi="仿宋_GB2312" w:cs="仿宋_GB2312" w:eastAsia="仿宋_GB2312"/>
          <w:sz w:val="24"/>
        </w:rPr>
        <w:t>成交人</w:t>
      </w:r>
      <w:r>
        <w:rPr>
          <w:rFonts w:ascii="仿宋_GB2312" w:hAnsi="仿宋_GB2312" w:cs="仿宋_GB2312" w:eastAsia="仿宋_GB2312"/>
          <w:sz w:val="24"/>
        </w:rPr>
        <w:t>负责提供。</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成交人</w:t>
      </w:r>
      <w:r>
        <w:rPr>
          <w:rFonts w:ascii="仿宋_GB2312" w:hAnsi="仿宋_GB2312" w:cs="仿宋_GB2312" w:eastAsia="仿宋_GB2312"/>
          <w:sz w:val="24"/>
        </w:rPr>
        <w:t>负责组织专业技术人员进行货物安装，采购人应提供必须的基本条件和专人配合，保证各项安装工作顺利进行。</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3）安装到位后的货物由</w:t>
      </w:r>
      <w:r>
        <w:rPr>
          <w:rFonts w:ascii="仿宋_GB2312" w:hAnsi="仿宋_GB2312" w:cs="仿宋_GB2312" w:eastAsia="仿宋_GB2312"/>
          <w:sz w:val="24"/>
        </w:rPr>
        <w:t>成交人</w:t>
      </w:r>
      <w:r>
        <w:rPr>
          <w:rFonts w:ascii="仿宋_GB2312" w:hAnsi="仿宋_GB2312" w:cs="仿宋_GB2312" w:eastAsia="仿宋_GB2312"/>
          <w:sz w:val="24"/>
        </w:rPr>
        <w:t>及采购人共同进行质量验收签字。</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4）货物验收前，</w:t>
      </w:r>
      <w:r>
        <w:rPr>
          <w:rFonts w:ascii="仿宋_GB2312" w:hAnsi="仿宋_GB2312" w:cs="仿宋_GB2312" w:eastAsia="仿宋_GB2312"/>
          <w:sz w:val="24"/>
        </w:rPr>
        <w:t>成交人</w:t>
      </w:r>
      <w:r>
        <w:rPr>
          <w:rFonts w:ascii="仿宋_GB2312" w:hAnsi="仿宋_GB2312" w:cs="仿宋_GB2312" w:eastAsia="仿宋_GB2312"/>
          <w:sz w:val="24"/>
        </w:rPr>
        <w:t>须提供完整的技术资料</w:t>
      </w:r>
      <w:r>
        <w:rPr>
          <w:rFonts w:ascii="仿宋_GB2312" w:hAnsi="仿宋_GB2312" w:cs="仿宋_GB2312" w:eastAsia="仿宋_GB2312"/>
          <w:sz w:val="24"/>
        </w:rPr>
        <w:t>(包括产品中文说明书、中文采购人手册、出厂明细表或装箱单、制造厂质量合格证书及其他相关文件资料)。</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成交人</w:t>
      </w:r>
      <w:r>
        <w:rPr>
          <w:rFonts w:ascii="仿宋_GB2312" w:hAnsi="仿宋_GB2312" w:cs="仿宋_GB2312" w:eastAsia="仿宋_GB2312"/>
          <w:sz w:val="24"/>
        </w:rPr>
        <w:t>向采购人提供安装和维护所需特殊专用的工具、备件及清单和中文说明书，其费用包括在投标价格内。</w:t>
      </w:r>
    </w:p>
    <w:p>
      <w:pPr>
        <w:pStyle w:val="null3"/>
        <w:ind w:firstLine="480"/>
        <w:jc w:val="left"/>
      </w:pPr>
      <w:r>
        <w:rPr>
          <w:rFonts w:ascii="仿宋_GB2312" w:hAnsi="仿宋_GB2312" w:cs="仿宋_GB2312" w:eastAsia="仿宋_GB2312"/>
          <w:sz w:val="24"/>
        </w:rPr>
        <w:t>10、验收程序和方法</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1）出厂检验</w:t>
      </w:r>
    </w:p>
    <w:p>
      <w:pPr>
        <w:pStyle w:val="null3"/>
        <w:ind w:firstLine="480"/>
        <w:jc w:val="left"/>
      </w:pPr>
      <w:r>
        <w:rPr>
          <w:rFonts w:ascii="仿宋_GB2312" w:hAnsi="仿宋_GB2312" w:cs="仿宋_GB2312" w:eastAsia="仿宋_GB2312"/>
          <w:sz w:val="24"/>
        </w:rPr>
        <w:t>成交人</w:t>
      </w:r>
      <w:r>
        <w:rPr>
          <w:rFonts w:ascii="仿宋_GB2312" w:hAnsi="仿宋_GB2312" w:cs="仿宋_GB2312" w:eastAsia="仿宋_GB2312"/>
          <w:sz w:val="24"/>
        </w:rPr>
        <w:t>在产品出厂前，应按产品技术标准规定的检验项目和检验方法进行全面检验，</w:t>
      </w:r>
      <w:r>
        <w:rPr>
          <w:rFonts w:ascii="仿宋_GB2312" w:hAnsi="仿宋_GB2312" w:cs="仿宋_GB2312" w:eastAsia="仿宋_GB2312"/>
          <w:sz w:val="24"/>
        </w:rPr>
        <w:t>成交人</w:t>
      </w:r>
      <w:r>
        <w:rPr>
          <w:rFonts w:ascii="仿宋_GB2312" w:hAnsi="仿宋_GB2312" w:cs="仿宋_GB2312" w:eastAsia="仿宋_GB2312"/>
          <w:sz w:val="24"/>
        </w:rPr>
        <w:t>应随同货物出具出厂检验报告和产品质量合格证等。</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成交人</w:t>
      </w:r>
      <w:r>
        <w:rPr>
          <w:rFonts w:ascii="仿宋_GB2312" w:hAnsi="仿宋_GB2312" w:cs="仿宋_GB2312" w:eastAsia="仿宋_GB2312"/>
          <w:sz w:val="24"/>
        </w:rPr>
        <w:t>自检</w:t>
      </w:r>
    </w:p>
    <w:p>
      <w:pPr>
        <w:pStyle w:val="null3"/>
        <w:ind w:firstLine="480"/>
        <w:jc w:val="left"/>
      </w:pPr>
      <w:r>
        <w:rPr>
          <w:rFonts w:ascii="仿宋_GB2312" w:hAnsi="仿宋_GB2312" w:cs="仿宋_GB2312" w:eastAsia="仿宋_GB2312"/>
          <w:sz w:val="24"/>
        </w:rPr>
        <w:t>货物在安装地安装完毕后，要求</w:t>
      </w:r>
      <w:r>
        <w:rPr>
          <w:rFonts w:ascii="仿宋_GB2312" w:hAnsi="仿宋_GB2312" w:cs="仿宋_GB2312" w:eastAsia="仿宋_GB2312"/>
          <w:sz w:val="24"/>
        </w:rPr>
        <w:t>成交人</w:t>
      </w:r>
      <w:r>
        <w:rPr>
          <w:rFonts w:ascii="仿宋_GB2312" w:hAnsi="仿宋_GB2312" w:cs="仿宋_GB2312" w:eastAsia="仿宋_GB2312"/>
          <w:sz w:val="24"/>
        </w:rPr>
        <w:t>对所有货物的性能进行自检，检验结果必须符合招标文件技术要求以及合同中相关条款，并向采购人提供自检记录。</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3）验收标准及要求</w:t>
      </w:r>
    </w:p>
    <w:p>
      <w:pPr>
        <w:pStyle w:val="null3"/>
        <w:ind w:firstLine="480"/>
        <w:jc w:val="both"/>
      </w:pPr>
      <w:r>
        <w:rPr>
          <w:rFonts w:ascii="仿宋_GB2312" w:hAnsi="仿宋_GB2312" w:cs="仿宋_GB2312" w:eastAsia="仿宋_GB2312"/>
          <w:sz w:val="24"/>
        </w:rPr>
        <w:t>设备技术要求或参数符合招标需求的要求，并能满足教学需要。</w:t>
      </w:r>
    </w:p>
    <w:p>
      <w:pPr>
        <w:pStyle w:val="null3"/>
        <w:ind w:firstLine="480"/>
        <w:jc w:val="left"/>
      </w:pPr>
      <w:r>
        <w:rPr>
          <w:rFonts w:ascii="仿宋_GB2312" w:hAnsi="仿宋_GB2312" w:cs="仿宋_GB2312" w:eastAsia="仿宋_GB2312"/>
          <w:sz w:val="24"/>
        </w:rPr>
        <w:t>11、技术资料要求</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成交人</w:t>
      </w:r>
      <w:r>
        <w:rPr>
          <w:rFonts w:ascii="仿宋_GB2312" w:hAnsi="仿宋_GB2312" w:cs="仿宋_GB2312" w:eastAsia="仿宋_GB2312"/>
          <w:sz w:val="24"/>
        </w:rPr>
        <w:t>应向采购人提供以下目录的产品资料一套并装订成册，其费用应包括在报价价格中：</w:t>
      </w:r>
    </w:p>
    <w:p>
      <w:pPr>
        <w:pStyle w:val="null3"/>
        <w:ind w:firstLine="240"/>
        <w:jc w:val="left"/>
      </w:pPr>
      <w:r>
        <w:rPr>
          <w:rFonts w:ascii="仿宋_GB2312" w:hAnsi="仿宋_GB2312" w:cs="仿宋_GB2312" w:eastAsia="仿宋_GB2312"/>
          <w:sz w:val="24"/>
        </w:rPr>
        <w:t>1) 产品验收标准；</w:t>
      </w:r>
    </w:p>
    <w:p>
      <w:pPr>
        <w:pStyle w:val="null3"/>
        <w:ind w:firstLine="240"/>
        <w:jc w:val="left"/>
      </w:pPr>
      <w:r>
        <w:rPr>
          <w:rFonts w:ascii="仿宋_GB2312" w:hAnsi="仿宋_GB2312" w:cs="仿宋_GB2312" w:eastAsia="仿宋_GB2312"/>
          <w:sz w:val="24"/>
        </w:rPr>
        <w:t>2) 产品技术说明书；</w:t>
      </w:r>
    </w:p>
    <w:p>
      <w:pPr>
        <w:pStyle w:val="null3"/>
        <w:ind w:firstLine="240"/>
        <w:jc w:val="left"/>
      </w:pPr>
      <w:r>
        <w:rPr>
          <w:rFonts w:ascii="仿宋_GB2312" w:hAnsi="仿宋_GB2312" w:cs="仿宋_GB2312" w:eastAsia="仿宋_GB2312"/>
          <w:sz w:val="24"/>
        </w:rPr>
        <w:t>3) 使用说明书；</w:t>
      </w:r>
    </w:p>
    <w:p>
      <w:pPr>
        <w:pStyle w:val="null3"/>
        <w:ind w:firstLine="240"/>
        <w:jc w:val="left"/>
      </w:pPr>
      <w:r>
        <w:rPr>
          <w:rFonts w:ascii="仿宋_GB2312" w:hAnsi="仿宋_GB2312" w:cs="仿宋_GB2312" w:eastAsia="仿宋_GB2312"/>
          <w:sz w:val="24"/>
        </w:rPr>
        <w:t>4) 零部件目录(若有)；</w:t>
      </w:r>
    </w:p>
    <w:p>
      <w:pPr>
        <w:pStyle w:val="null3"/>
        <w:ind w:firstLine="240"/>
        <w:jc w:val="left"/>
      </w:pPr>
      <w:r>
        <w:rPr>
          <w:rFonts w:ascii="仿宋_GB2312" w:hAnsi="仿宋_GB2312" w:cs="仿宋_GB2312" w:eastAsia="仿宋_GB2312"/>
          <w:sz w:val="24"/>
        </w:rPr>
        <w:t>5) 备品备件、损件清单(若有)；</w:t>
      </w:r>
    </w:p>
    <w:p>
      <w:pPr>
        <w:pStyle w:val="null3"/>
        <w:ind w:firstLine="240"/>
        <w:jc w:val="left"/>
      </w:pPr>
      <w:r>
        <w:rPr>
          <w:rFonts w:ascii="仿宋_GB2312" w:hAnsi="仿宋_GB2312" w:cs="仿宋_GB2312" w:eastAsia="仿宋_GB2312"/>
          <w:sz w:val="24"/>
        </w:rPr>
        <w:t>6) 安装、维修及操作手册(若有)；</w:t>
      </w:r>
    </w:p>
    <w:p>
      <w:pPr>
        <w:pStyle w:val="null3"/>
        <w:ind w:firstLine="240"/>
        <w:jc w:val="left"/>
      </w:pPr>
      <w:r>
        <w:rPr>
          <w:rFonts w:ascii="仿宋_GB2312" w:hAnsi="仿宋_GB2312" w:cs="仿宋_GB2312" w:eastAsia="仿宋_GB2312"/>
          <w:sz w:val="24"/>
        </w:rPr>
        <w:t>7) 合同中要求的其它文件资料。</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w:t>
      </w:r>
      <w:r>
        <w:rPr>
          <w:rFonts w:ascii="仿宋_GB2312" w:hAnsi="仿宋_GB2312" w:cs="仿宋_GB2312" w:eastAsia="仿宋_GB2312"/>
          <w:sz w:val="24"/>
        </w:rPr>
        <w:t>成交人</w:t>
      </w:r>
      <w:r>
        <w:rPr>
          <w:rFonts w:ascii="仿宋_GB2312" w:hAnsi="仿宋_GB2312" w:cs="仿宋_GB2312" w:eastAsia="仿宋_GB2312"/>
          <w:sz w:val="24"/>
        </w:rPr>
        <w:t>需向采购人提供完整的技术资料壹套并装订成册。各项指标和参数应符合验收标准。</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3）备品备件及专用工具</w:t>
      </w:r>
    </w:p>
    <w:p>
      <w:pPr>
        <w:pStyle w:val="null3"/>
        <w:ind w:firstLine="480"/>
        <w:jc w:val="left"/>
      </w:pPr>
      <w:r>
        <w:rPr>
          <w:rFonts w:ascii="仿宋_GB2312" w:hAnsi="仿宋_GB2312" w:cs="仿宋_GB2312" w:eastAsia="仿宋_GB2312"/>
          <w:sz w:val="24"/>
        </w:rPr>
        <w:t>成交人</w:t>
      </w:r>
      <w:r>
        <w:rPr>
          <w:rFonts w:ascii="仿宋_GB2312" w:hAnsi="仿宋_GB2312" w:cs="仿宋_GB2312" w:eastAsia="仿宋_GB2312"/>
          <w:sz w:val="24"/>
        </w:rPr>
        <w:t>向采购人提供安装和维修所需特殊专用的工具、备件及清单和中文说明书，其费用包括在投标价格内。</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2</w:t>
      </w:r>
      <w:r>
        <w:rPr>
          <w:rFonts w:ascii="仿宋_GB2312" w:hAnsi="仿宋_GB2312" w:cs="仿宋_GB2312" w:eastAsia="仿宋_GB2312"/>
          <w:sz w:val="24"/>
        </w:rPr>
        <w:t>、售后服务：</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成交人</w:t>
      </w:r>
      <w:r>
        <w:rPr>
          <w:rFonts w:ascii="仿宋_GB2312" w:hAnsi="仿宋_GB2312" w:cs="仿宋_GB2312" w:eastAsia="仿宋_GB2312"/>
          <w:sz w:val="24"/>
        </w:rPr>
        <w:t>需对所提供货物免费保</w:t>
      </w:r>
      <w:r>
        <w:rPr>
          <w:rFonts w:ascii="仿宋_GB2312" w:hAnsi="仿宋_GB2312" w:cs="仿宋_GB2312" w:eastAsia="仿宋_GB2312"/>
          <w:sz w:val="24"/>
        </w:rPr>
        <w:t>修期不少于</w:t>
      </w:r>
      <w:r>
        <w:rPr>
          <w:rFonts w:ascii="仿宋_GB2312" w:hAnsi="仿宋_GB2312" w:cs="仿宋_GB2312" w:eastAsia="仿宋_GB2312"/>
          <w:sz w:val="24"/>
        </w:rPr>
        <w:t>3</w:t>
      </w:r>
      <w:r>
        <w:rPr>
          <w:rFonts w:ascii="仿宋_GB2312" w:hAnsi="仿宋_GB2312" w:cs="仿宋_GB2312" w:eastAsia="仿宋_GB2312"/>
          <w:sz w:val="24"/>
        </w:rPr>
        <w:t>年</w:t>
      </w:r>
      <w:r>
        <w:rPr>
          <w:rFonts w:ascii="仿宋_GB2312" w:hAnsi="仿宋_GB2312" w:cs="仿宋_GB2312" w:eastAsia="仿宋_GB2312"/>
          <w:sz w:val="24"/>
        </w:rPr>
        <w:t>(技</w:t>
      </w:r>
      <w:r>
        <w:rPr>
          <w:rFonts w:ascii="仿宋_GB2312" w:hAnsi="仿宋_GB2312" w:cs="仿宋_GB2312" w:eastAsia="仿宋_GB2312"/>
          <w:sz w:val="24"/>
        </w:rPr>
        <w:t>术参数有要求或</w:t>
      </w:r>
      <w:r>
        <w:rPr>
          <w:rFonts w:ascii="仿宋_GB2312" w:hAnsi="仿宋_GB2312" w:cs="仿宋_GB2312" w:eastAsia="仿宋_GB2312"/>
          <w:sz w:val="24"/>
        </w:rPr>
        <w:t>成交人</w:t>
      </w:r>
      <w:r>
        <w:rPr>
          <w:rFonts w:ascii="仿宋_GB2312" w:hAnsi="仿宋_GB2312" w:cs="仿宋_GB2312" w:eastAsia="仿宋_GB2312"/>
          <w:sz w:val="24"/>
        </w:rPr>
        <w:t>响应更长免费保修期的或具体货物及配件如厂家、国家有更长质保期规定的从其规定</w:t>
      </w:r>
      <w:r>
        <w:rPr>
          <w:rFonts w:ascii="仿宋_GB2312" w:hAnsi="仿宋_GB2312" w:cs="仿宋_GB2312" w:eastAsia="仿宋_GB2312"/>
          <w:sz w:val="24"/>
        </w:rPr>
        <w:t>)，免费保修期自自验收合格交付使用之日起算。在保修期内，产品的质量问题全部由</w:t>
      </w:r>
      <w:r>
        <w:rPr>
          <w:rFonts w:ascii="仿宋_GB2312" w:hAnsi="仿宋_GB2312" w:cs="仿宋_GB2312" w:eastAsia="仿宋_GB2312"/>
          <w:sz w:val="24"/>
        </w:rPr>
        <w:t>成交人</w:t>
      </w:r>
      <w:r>
        <w:rPr>
          <w:rFonts w:ascii="仿宋_GB2312" w:hAnsi="仿宋_GB2312" w:cs="仿宋_GB2312" w:eastAsia="仿宋_GB2312"/>
          <w:sz w:val="24"/>
        </w:rPr>
        <w:t>负责维修、更换，不另计任何费用。</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2）在免费保修期内货物使用发生故障时</w:t>
      </w:r>
      <w:r>
        <w:rPr>
          <w:rFonts w:ascii="仿宋_GB2312" w:hAnsi="仿宋_GB2312" w:cs="仿宋_GB2312" w:eastAsia="仿宋_GB2312"/>
          <w:sz w:val="24"/>
        </w:rPr>
        <w:t>成交人</w:t>
      </w:r>
      <w:r>
        <w:rPr>
          <w:rFonts w:ascii="仿宋_GB2312" w:hAnsi="仿宋_GB2312" w:cs="仿宋_GB2312" w:eastAsia="仿宋_GB2312"/>
          <w:sz w:val="24"/>
        </w:rPr>
        <w:t>在接到采购人故障通知后</w:t>
      </w:r>
      <w:r>
        <w:rPr>
          <w:rFonts w:ascii="仿宋_GB2312" w:hAnsi="仿宋_GB2312" w:cs="仿宋_GB2312" w:eastAsia="仿宋_GB2312"/>
          <w:sz w:val="24"/>
        </w:rPr>
        <w:t>2小时内响应，并在24小时内委派专业技术人员到现场免费提供咨询、维修，并及时填写维修报告(包括故障原因、处理情况及采购人意见等)报采购人备案，如24小时内无法修复的，</w:t>
      </w:r>
      <w:r>
        <w:rPr>
          <w:rFonts w:ascii="仿宋_GB2312" w:hAnsi="仿宋_GB2312" w:cs="仿宋_GB2312" w:eastAsia="仿宋_GB2312"/>
          <w:sz w:val="24"/>
        </w:rPr>
        <w:t>成交人</w:t>
      </w:r>
      <w:r>
        <w:rPr>
          <w:rFonts w:ascii="仿宋_GB2312" w:hAnsi="仿宋_GB2312" w:cs="仿宋_GB2312" w:eastAsia="仿宋_GB2312"/>
          <w:sz w:val="24"/>
        </w:rPr>
        <w:t>应提供备品供采购人使用。在免费保修期</w:t>
      </w:r>
      <w:r>
        <w:rPr>
          <w:rFonts w:ascii="仿宋_GB2312" w:hAnsi="仿宋_GB2312" w:cs="仿宋_GB2312" w:eastAsia="仿宋_GB2312"/>
          <w:sz w:val="24"/>
        </w:rPr>
        <w:t>三</w:t>
      </w:r>
      <w:r>
        <w:rPr>
          <w:rFonts w:ascii="仿宋_GB2312" w:hAnsi="仿宋_GB2312" w:cs="仿宋_GB2312" w:eastAsia="仿宋_GB2312"/>
          <w:sz w:val="24"/>
        </w:rPr>
        <w:t>年内出现属产品质量问题，采购人则有权要求免费更换货物，更换的免费保修期从更换之日起相应顺延。</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3）免费保修期结束后,</w:t>
      </w:r>
      <w:r>
        <w:rPr>
          <w:rFonts w:ascii="仿宋_GB2312" w:hAnsi="仿宋_GB2312" w:cs="仿宋_GB2312" w:eastAsia="仿宋_GB2312"/>
          <w:sz w:val="24"/>
        </w:rPr>
        <w:t>成交人</w:t>
      </w:r>
      <w:r>
        <w:rPr>
          <w:rFonts w:ascii="仿宋_GB2312" w:hAnsi="仿宋_GB2312" w:cs="仿宋_GB2312" w:eastAsia="仿宋_GB2312"/>
          <w:sz w:val="24"/>
        </w:rPr>
        <w:t>应在货物使用地区指定有维修能力的机构对货物在必要时进行定期维护和修理</w:t>
      </w:r>
      <w:r>
        <w:rPr>
          <w:rFonts w:ascii="仿宋_GB2312" w:hAnsi="仿宋_GB2312" w:cs="仿宋_GB2312" w:eastAsia="仿宋_GB2312"/>
          <w:sz w:val="24"/>
        </w:rPr>
        <w:t>,可合理收取维修成本费,更换配件时只能收配件成本费。</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）成交供应商应根据采购人指定的地点免费提供所有货物的送货、安装等服务。</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）验收不合格的货物，采购人可以要求成交供应商无条件免费更换或退货，并赔偿由此造成用户的损失。</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6</w:t>
      </w:r>
      <w:r>
        <w:rPr>
          <w:rFonts w:ascii="仿宋_GB2312" w:hAnsi="仿宋_GB2312" w:cs="仿宋_GB2312" w:eastAsia="仿宋_GB2312"/>
          <w:sz w:val="24"/>
        </w:rPr>
        <w:t>）成交供应商可视自身能力在响应文件中提供更优、更合理的售后服务承诺。</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3</w:t>
      </w:r>
      <w:r>
        <w:rPr>
          <w:rFonts w:ascii="仿宋_GB2312" w:hAnsi="仿宋_GB2312" w:cs="仿宋_GB2312" w:eastAsia="仿宋_GB2312"/>
          <w:sz w:val="24"/>
        </w:rPr>
        <w:t>、</w:t>
      </w:r>
      <w:r>
        <w:rPr>
          <w:rFonts w:ascii="仿宋_GB2312" w:hAnsi="仿宋_GB2312" w:cs="仿宋_GB2312" w:eastAsia="仿宋_GB2312"/>
          <w:sz w:val="24"/>
          <w:shd w:fill="FFFFFF" w:val="clear"/>
        </w:rPr>
        <w:t>违约责任</w:t>
      </w:r>
    </w:p>
    <w:p>
      <w:pPr>
        <w:pStyle w:val="null3"/>
        <w:ind w:firstLine="465"/>
        <w:jc w:val="left"/>
      </w:pPr>
      <w:r>
        <w:rPr>
          <w:rFonts w:ascii="仿宋_GB2312" w:hAnsi="仿宋_GB2312" w:cs="仿宋_GB2312" w:eastAsia="仿宋_GB2312"/>
          <w:sz w:val="24"/>
        </w:rPr>
        <w:t>1</w:t>
      </w:r>
      <w:r>
        <w:rPr>
          <w:rFonts w:ascii="仿宋_GB2312" w:hAnsi="仿宋_GB2312" w:cs="仿宋_GB2312" w:eastAsia="仿宋_GB2312"/>
          <w:sz w:val="24"/>
        </w:rPr>
        <w:t>)供应商未能按期完工的，每逾期一天，按合同价款的1‰向采购人支付违约金。若供应商逾期完工超过30个日历日，采购人有权解除合同，供应商应向采购人支付合同总价30%的违约金。由于不可抗力的因素、采购人变更合同要求造成施工延误的，按照实际误工情况而相应延长完工期，不作为违约。</w:t>
      </w:r>
      <w:r>
        <w:br/>
      </w:r>
      <w:r>
        <w:rPr>
          <w:rFonts w:ascii="仿宋_GB2312" w:hAnsi="仿宋_GB2312" w:cs="仿宋_GB2312" w:eastAsia="仿宋_GB2312"/>
          <w:sz w:val="21"/>
        </w:rPr>
        <w:t xml:space="preserve">    </w:t>
      </w:r>
      <w:r>
        <w:rPr>
          <w:rFonts w:ascii="仿宋_GB2312" w:hAnsi="仿宋_GB2312" w:cs="仿宋_GB2312" w:eastAsia="仿宋_GB2312"/>
          <w:sz w:val="24"/>
        </w:rPr>
        <w:t>2</w:t>
      </w:r>
      <w:r>
        <w:rPr>
          <w:rFonts w:ascii="仿宋_GB2312" w:hAnsi="仿宋_GB2312" w:cs="仿宋_GB2312" w:eastAsia="仿宋_GB2312"/>
          <w:sz w:val="24"/>
        </w:rPr>
        <w:t>)供应商逾期提交验收申请和完整的验收材料，每逾期一天，供应商按合同价款的1‰向采购人支付违约金。逾期超过30个日历日，采购人有权解除合同，供应商应向采购人支付合同总价款30%的违约金。</w:t>
      </w:r>
      <w:r>
        <w:br/>
      </w:r>
      <w:r>
        <w:rPr>
          <w:rFonts w:ascii="仿宋_GB2312" w:hAnsi="仿宋_GB2312" w:cs="仿宋_GB2312" w:eastAsia="仿宋_GB2312"/>
          <w:sz w:val="21"/>
        </w:rPr>
        <w:t xml:space="preserve">    </w:t>
      </w:r>
      <w:r>
        <w:rPr>
          <w:rFonts w:ascii="仿宋_GB2312" w:hAnsi="仿宋_GB2312" w:cs="仿宋_GB2312" w:eastAsia="仿宋_GB2312"/>
          <w:sz w:val="24"/>
        </w:rPr>
        <w:t>3</w:t>
      </w:r>
      <w:r>
        <w:rPr>
          <w:rFonts w:ascii="仿宋_GB2312" w:hAnsi="仿宋_GB2312" w:cs="仿宋_GB2312" w:eastAsia="仿宋_GB2312"/>
          <w:sz w:val="24"/>
        </w:rPr>
        <w:t>)项目完工后，若验收不符合招标文件或合同规定的，供应商应在接到采购人书面整改通知书后15个日历日内积极补救整改并再次提交验收申请。再次验收仍不合格的或在15个日历日内无法整改完毕并再次提交验收申请的，采购人有权解除合同，供应商应向采购人支付合同总价款30%的违约金。</w:t>
      </w:r>
    </w:p>
    <w:p>
      <w:pPr>
        <w:pStyle w:val="null3"/>
        <w:ind w:firstLine="465"/>
        <w:jc w:val="left"/>
      </w:pPr>
      <w:r>
        <w:rPr>
          <w:rFonts w:ascii="仿宋_GB2312" w:hAnsi="仿宋_GB2312" w:cs="仿宋_GB2312" w:eastAsia="仿宋_GB2312"/>
          <w:sz w:val="24"/>
        </w:rPr>
        <w:t>4</w:t>
      </w:r>
      <w:r>
        <w:rPr>
          <w:rFonts w:ascii="仿宋_GB2312" w:hAnsi="仿宋_GB2312" w:cs="仿宋_GB2312" w:eastAsia="仿宋_GB2312"/>
          <w:sz w:val="24"/>
        </w:rPr>
        <w:t>)本项目不允许成交供应商转包、分包，如有发现，采购人有权解除合同，不予支付货款，同时供应商应向采购人支付合同总价款30%的违约金。</w:t>
      </w:r>
    </w:p>
    <w:p>
      <w:pPr>
        <w:pStyle w:val="null3"/>
        <w:ind w:firstLine="465"/>
        <w:jc w:val="left"/>
      </w:pPr>
      <w:r>
        <w:rPr>
          <w:rFonts w:ascii="仿宋_GB2312" w:hAnsi="仿宋_GB2312" w:cs="仿宋_GB2312" w:eastAsia="仿宋_GB2312"/>
          <w:sz w:val="24"/>
        </w:rPr>
        <w:t>5</w:t>
      </w:r>
      <w:r>
        <w:rPr>
          <w:rFonts w:ascii="仿宋_GB2312" w:hAnsi="仿宋_GB2312" w:cs="仿宋_GB2312" w:eastAsia="仿宋_GB2312"/>
          <w:sz w:val="24"/>
        </w:rPr>
        <w:t>)因国家政策调、财政预算调整、财政支出困难等因素造成的支付延迟，不视为采购人违约。</w:t>
      </w:r>
    </w:p>
    <w:p>
      <w:pPr>
        <w:pStyle w:val="null3"/>
        <w:ind w:firstLine="465"/>
        <w:jc w:val="left"/>
      </w:pPr>
      <w:r>
        <w:rPr>
          <w:rFonts w:ascii="仿宋_GB2312" w:hAnsi="仿宋_GB2312" w:cs="仿宋_GB2312" w:eastAsia="仿宋_GB2312"/>
          <w:sz w:val="24"/>
        </w:rPr>
        <w:t>6</w:t>
      </w:r>
      <w:r>
        <w:rPr>
          <w:rFonts w:ascii="仿宋_GB2312" w:hAnsi="仿宋_GB2312" w:cs="仿宋_GB2312" w:eastAsia="仿宋_GB2312"/>
          <w:sz w:val="24"/>
        </w:rPr>
        <w:t>)双方同意若遇到重大政策性调整或采购人上级要求，双方必须服从政策调整和上级要求需要履行合同，互不承担违约责任。</w:t>
      </w:r>
    </w:p>
    <w:p>
      <w:pPr>
        <w:pStyle w:val="null3"/>
        <w:ind w:firstLine="465"/>
        <w:jc w:val="left"/>
      </w:pPr>
      <w:r>
        <w:rPr>
          <w:rFonts w:ascii="仿宋_GB2312" w:hAnsi="仿宋_GB2312" w:cs="仿宋_GB2312" w:eastAsia="仿宋_GB2312"/>
          <w:sz w:val="24"/>
        </w:rPr>
        <w:t>7）</w:t>
      </w:r>
      <w:r>
        <w:rPr>
          <w:rFonts w:ascii="仿宋_GB2312" w:hAnsi="仿宋_GB2312" w:cs="仿宋_GB2312" w:eastAsia="仿宋_GB2312"/>
          <w:sz w:val="24"/>
        </w:rPr>
        <w:t>在明确违约责任后，成交人应在接到书面通知书起七天内支付违约金、赔偿金等。相关违约金和赔偿金，采购人也可以从应付款中予以扣除。</w:t>
      </w:r>
    </w:p>
    <w:p>
      <w:pPr>
        <w:pStyle w:val="null3"/>
        <w:ind w:firstLine="465"/>
        <w:jc w:val="left"/>
      </w:pPr>
      <w:r>
        <w:rPr>
          <w:rFonts w:ascii="仿宋_GB2312" w:hAnsi="仿宋_GB2312" w:cs="仿宋_GB2312" w:eastAsia="仿宋_GB2312"/>
          <w:sz w:val="24"/>
        </w:rPr>
        <w:t>8）</w:t>
      </w:r>
      <w:r>
        <w:rPr>
          <w:rFonts w:ascii="仿宋_GB2312" w:hAnsi="仿宋_GB2312" w:cs="仿宋_GB2312" w:eastAsia="仿宋_GB2312"/>
          <w:sz w:val="24"/>
        </w:rPr>
        <w:t>本招标文件未明确的其它约定事项或条款，待采购人与成交人签订合同时，由双方协商订立。</w:t>
      </w:r>
    </w:p>
    <w:p>
      <w:pPr>
        <w:pStyle w:val="null3"/>
        <w:ind w:firstLine="465"/>
        <w:jc w:val="left"/>
      </w:pPr>
      <w:r>
        <w:rPr>
          <w:rFonts w:ascii="仿宋_GB2312" w:hAnsi="仿宋_GB2312" w:cs="仿宋_GB2312" w:eastAsia="仿宋_GB2312"/>
          <w:sz w:val="24"/>
        </w:rPr>
        <w:t>14.拟投入人员要求：</w:t>
      </w:r>
    </w:p>
    <w:p>
      <w:pPr>
        <w:pStyle w:val="null3"/>
        <w:ind w:firstLine="465"/>
        <w:jc w:val="left"/>
      </w:pPr>
      <w:r>
        <w:rPr>
          <w:rFonts w:ascii="仿宋_GB2312" w:hAnsi="仿宋_GB2312" w:cs="仿宋_GB2312" w:eastAsia="仿宋_GB2312"/>
          <w:sz w:val="24"/>
        </w:rPr>
        <w:t>供应商需自行配备本项目实施的相关技术人员，包含但不限于：项目经理</w:t>
      </w:r>
      <w:r>
        <w:rPr>
          <w:rFonts w:ascii="仿宋_GB2312" w:hAnsi="仿宋_GB2312" w:cs="仿宋_GB2312" w:eastAsia="仿宋_GB2312"/>
          <w:sz w:val="24"/>
        </w:rPr>
        <w:t>1名,其他团队成员若干名。</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1.除磋商文件另有规定外，若出现有关法律、法规和规章有强制性规定但磋商文件未列明的情形，则供应商应按照有关法律、法规和规章强制性规定执行。 2.其他：本磋商文件未明确的其它约定事项或条款，待采购人与成交人签订合同时，由双方协商订立。</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[350322]DZZX[CS]2025001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2025年基层应急能力提升工程为民办实事项目(基层预警指挥服务站系统建设部分)</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1(2025年基层应急能力提升工程为民办实事项目(基层预警指挥服务站系统建设部分))</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2025年基层应急能力提升工程为民办实事项目(基层预警指挥服务站系统建设部分)</w:t>
            </w:r>
          </w:p>
        </w:tc>
        <w:tc>
          <w:tcPr>
            <w:tcW w:type="dxa" w:w="1661"/>
          </w:tcPr>
          <w:p>
            <w:pPr>
              <w:pStyle w:val="null3"/>
              <w:jc w:val="left"/>
            </w:pPr>
            <w:r>
              <w:rPr>
                <w:rFonts w:ascii="仿宋_GB2312" w:hAnsi="仿宋_GB2312" w:cs="仿宋_GB2312" w:eastAsia="仿宋_GB2312"/>
              </w:rPr>
              <w:t xml:space="preserve"> 780000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[350322]DZZX[CS]2025001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2025年基层应急能力提升工程为民办实事项目(基层预警指挥服务站系统建设部分)</w:t>
      </w:r>
    </w:p>
    <w:p>
      <w:pPr>
        <w:pStyle w:val="null3"/>
        <w:jc w:val="left"/>
      </w:pPr>
      <w:r>
        <w:rPr>
          <w:rFonts w:ascii="仿宋_GB2312" w:hAnsi="仿宋_GB2312" w:cs="仿宋_GB2312" w:eastAsia="仿宋_GB2312"/>
        </w:rPr>
        <w:t>采购包：</w:t>
      </w:r>
      <w:r>
        <w:rPr>
          <w:rFonts w:ascii="仿宋_GB2312" w:hAnsi="仿宋_GB2312" w:cs="仿宋_GB2312" w:eastAsia="仿宋_GB2312"/>
        </w:rPr>
        <w:t>2025年基层应急能力提升工程为民办实事项目(基层预警指挥服务站系统建设部分)</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2025年基层应急能力提升工程为民办实事项目(基层预警指挥服务站系统建设部分)</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基层视频会议终端及配套设备（一体机）</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747240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13.0000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w:t>
            </w:r>
          </w:p>
        </w:tc>
        <w:tc>
          <w:tcPr>
            <w:tcW w:type="dxa" w:w="639"/>
          </w:tcPr>
          <w:p>
            <w:pPr>
              <w:pStyle w:val="null3"/>
              <w:jc w:val="left"/>
            </w:pPr>
            <w:r>
              <w:rPr>
                <w:rFonts w:ascii="仿宋_GB2312" w:hAnsi="仿宋_GB2312" w:cs="仿宋_GB2312" w:eastAsia="仿宋_GB2312"/>
              </w:rPr>
              <w:t xml:space="preserve"> 政务外网链路</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32760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13.0000</w:t>
            </w:r>
          </w:p>
        </w:tc>
        <w:tc>
          <w:tcPr>
            <w:tcW w:type="dxa" w:w="639"/>
          </w:tcPr>
          <w:p>
            <w:pPr>
              <w:pStyle w:val="null3"/>
              <w:jc w:val="left"/>
            </w:pPr>
            <w:r>
              <w:rPr>
                <w:rFonts w:ascii="仿宋_GB2312" w:hAnsi="仿宋_GB2312" w:cs="仿宋_GB2312" w:eastAsia="仿宋_GB2312"/>
              </w:rPr>
              <w:t xml:space="preserve"> 条</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r>
        <w:br/>
      </w:r>
      <w:r>
        <w:br/>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b/>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